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4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820"/>
        <w:gridCol w:w="4820"/>
      </w:tblGrid>
      <w:tr>
        <w:tblPrEx/>
        <w:trPr>
          <w:trHeight w:val="3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tabs>
                <w:tab w:val="left" w:pos="4678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tabs>
                <w:tab w:val="left" w:pos="467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9"/>
              <w:ind w:left="-249"/>
              <w:jc w:val="center"/>
              <w:spacing w:after="0" w:line="240" w:lineRule="auto"/>
              <w:tabs>
                <w:tab w:val="left" w:pos="467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9"/>
              <w:ind w:left="-249"/>
              <w:jc w:val="center"/>
              <w:spacing w:after="0" w:line="240" w:lineRule="auto"/>
              <w:tabs>
                <w:tab w:val="left" w:pos="467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09"/>
              <w:spacing w:after="0" w:line="240" w:lineRule="auto"/>
              <w:tabs>
                <w:tab w:val="left" w:pos="4678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09"/>
              <w:spacing w:after="0" w:line="240" w:lineRule="auto"/>
              <w:tabs>
                <w:tab w:val="left" w:pos="467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09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9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9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соблюдение которых оценивается при </w:t>
      </w:r>
      <w:r>
        <w:rPr>
          <w:rFonts w:ascii="Times New Roman" w:hAnsi="Times New Roman"/>
          <w:b/>
          <w:sz w:val="28"/>
          <w:szCs w:val="28"/>
        </w:rPr>
        <w:t xml:space="preserve">осуществлении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Главным управлением по государственному надзору Удмуртской Республики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егионального государственного </w:t>
      </w:r>
      <w:r>
        <w:rPr>
          <w:rFonts w:ascii="Times New Roman" w:hAnsi="Times New Roman"/>
          <w:b/>
          <w:sz w:val="28"/>
          <w:szCs w:val="28"/>
        </w:rPr>
        <w:t xml:space="preserve">ж</w:t>
      </w:r>
      <w:r>
        <w:rPr>
          <w:rFonts w:ascii="Times New Roman" w:hAnsi="Times New Roman"/>
          <w:b/>
          <w:sz w:val="28"/>
          <w:szCs w:val="28"/>
        </w:rPr>
        <w:t xml:space="preserve">или</w:t>
      </w:r>
      <w:r>
        <w:rPr>
          <w:rFonts w:ascii="Times New Roman" w:hAnsi="Times New Roman"/>
          <w:b/>
          <w:sz w:val="28"/>
          <w:szCs w:val="28"/>
        </w:rPr>
        <w:t xml:space="preserve">щ</w:t>
      </w:r>
      <w:r>
        <w:rPr>
          <w:rFonts w:ascii="Times New Roman" w:hAnsi="Times New Roman"/>
          <w:b/>
          <w:sz w:val="28"/>
          <w:szCs w:val="28"/>
        </w:rPr>
        <w:t xml:space="preserve">ного </w:t>
      </w:r>
      <w:r>
        <w:rPr>
          <w:rFonts w:ascii="Times New Roman" w:hAnsi="Times New Roman"/>
          <w:b/>
          <w:sz w:val="28"/>
          <w:szCs w:val="28"/>
        </w:rPr>
        <w:t xml:space="preserve">контроля (</w:t>
      </w:r>
      <w:r>
        <w:rPr>
          <w:rFonts w:ascii="Times New Roman" w:hAnsi="Times New Roman"/>
          <w:b/>
          <w:sz w:val="28"/>
          <w:szCs w:val="28"/>
        </w:rPr>
        <w:t xml:space="preserve">надзора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5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9"/>
        <w:contextualSpacing/>
        <w:ind w:left="6372"/>
        <w:spacing w:before="375" w:after="0" w:line="240" w:lineRule="auto"/>
        <w:rPr>
          <w:rFonts w:ascii="Times New Roman" w:hAnsi="Times New Roman"/>
          <w:spacing w:val="2"/>
          <w:sz w:val="24"/>
          <w:szCs w:val="24"/>
        </w:rPr>
        <w:outlineLvl w:val="2"/>
      </w:pP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909"/>
        <w:contextualSpacing/>
        <w:ind w:left="6372"/>
        <w:spacing w:before="375" w:after="0" w:line="240" w:lineRule="auto"/>
        <w:rPr>
          <w:rFonts w:ascii="Times New Roman" w:hAnsi="Times New Roman"/>
          <w:spacing w:val="2"/>
          <w:sz w:val="24"/>
          <w:szCs w:val="24"/>
        </w:rPr>
        <w:outlineLvl w:val="2"/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         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909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Раздел 1. Анализ и оценка состояния подконтрольной сферы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9"/>
        <w:jc w:val="center"/>
        <w:spacing w:after="0" w:line="240" w:lineRule="auto"/>
        <w:widowControl w:val="off"/>
        <w:rPr>
          <w:rFonts w:ascii="Times New Roman" w:hAnsi="Times New Roman"/>
          <w:b/>
          <w:color w:val="ff0000"/>
          <w:sz w:val="26"/>
          <w:szCs w:val="26"/>
        </w:rPr>
        <w:outlineLvl w:val="1"/>
      </w:pPr>
      <w:r>
        <w:rPr>
          <w:rFonts w:ascii="Times New Roman" w:hAnsi="Times New Roman"/>
          <w:b/>
          <w:color w:val="ff0000"/>
          <w:sz w:val="26"/>
          <w:szCs w:val="26"/>
        </w:rPr>
      </w:r>
      <w:r>
        <w:rPr>
          <w:rFonts w:ascii="Times New Roman" w:hAnsi="Times New Roman"/>
          <w:b/>
          <w:color w:val="ff0000"/>
          <w:sz w:val="26"/>
          <w:szCs w:val="26"/>
        </w:rPr>
      </w:r>
      <w:r>
        <w:rPr>
          <w:rFonts w:ascii="Times New Roman" w:hAnsi="Times New Roman"/>
          <w:b/>
          <w:color w:val="ff0000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У</w:t>
      </w:r>
      <w:r>
        <w:rPr>
          <w:rFonts w:ascii="Times New Roman" w:hAnsi="Times New Roman"/>
          <w:spacing w:val="2"/>
          <w:sz w:val="24"/>
          <w:szCs w:val="24"/>
        </w:rPr>
        <w:t xml:space="preserve">правление  по надзору УР является исполнительным органом государственной власти, осуществляющим на территории Удмуртской Республики региональный государственный жилищный надзор.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ind w:left="0" w:right="0" w:firstLine="708"/>
        <w:jc w:val="both"/>
        <w:spacing w:before="0" w:after="0" w:line="28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Госуда</w:t>
      </w:r>
      <w:r>
        <w:rPr>
          <w:rFonts w:ascii="Times New Roman" w:hAnsi="Times New Roman"/>
          <w:sz w:val="26"/>
          <w:szCs w:val="26"/>
        </w:rPr>
        <w:t xml:space="preserve">рственный жилищный надзор осуществляется Главным управлением по государственному надзор</w:t>
      </w:r>
      <w:r>
        <w:rPr>
          <w:rFonts w:ascii="Times New Roman" w:hAnsi="Times New Roman"/>
          <w:sz w:val="26"/>
          <w:szCs w:val="26"/>
        </w:rPr>
        <w:t xml:space="preserve">у Удмуртской Республики, а также органами местного самоуправления муниципальных образований, образованных на территории Удмуртской Республики, наделенными отдельными государственными полномочиями Удмуртской Республики по государственному жилищному надзору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в соответствии с Законом Удмуртской Республики от 30.06.2014 № 40-РЗ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Закон УР от 30.06.2014 № 40-РЗ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тельской деятельности по управлению многоквартирными домами и внесении изменения в статью 35 Закона Удмуртской Республики «Об установлении административной ответственности за отдельные виды правонарушений.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sz w:val="26"/>
          <w:szCs w:val="26"/>
          <w:highlight w:val="none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Положени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е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 о региональном государственном жилищном контроле (надзоре)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 утверждено п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остановление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м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 Правительства УР от 30.09.2021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№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 533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.</w:t>
      </w:r>
      <w:r>
        <w:rPr>
          <w:rFonts w:ascii="Times New Roman" w:hAnsi="Times New Roman" w:eastAsia="Calibri"/>
          <w:sz w:val="26"/>
          <w:szCs w:val="26"/>
          <w:highlight w:val="none"/>
        </w:rPr>
      </w:r>
      <w:r>
        <w:rPr>
          <w:rFonts w:ascii="Times New Roman" w:hAnsi="Times New Roman" w:eastAsia="Calibri"/>
          <w:sz w:val="26"/>
          <w:szCs w:val="26"/>
          <w:highlight w:val="none"/>
        </w:rPr>
      </w:r>
    </w:p>
    <w:p>
      <w:pPr>
        <w:pStyle w:val="909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Количество подконтрольных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 xml:space="preserve">субъектов регионального госуда</w:t>
      </w:r>
      <w:r>
        <w:rPr>
          <w:rFonts w:ascii="Times New Roman" w:hAnsi="Times New Roman"/>
          <w:spacing w:val="2"/>
          <w:sz w:val="26"/>
          <w:szCs w:val="26"/>
        </w:rPr>
        <w:t xml:space="preserve">рственного жилищного надзора: ТСЖ, </w:t>
      </w:r>
      <w:r>
        <w:rPr>
          <w:rFonts w:ascii="Times New Roman" w:hAnsi="Times New Roman"/>
          <w:spacing w:val="2"/>
          <w:sz w:val="26"/>
          <w:szCs w:val="26"/>
        </w:rPr>
        <w:t xml:space="preserve">ЖСК, </w:t>
      </w:r>
      <w:r>
        <w:rPr>
          <w:rFonts w:ascii="Times New Roman" w:hAnsi="Times New Roman"/>
          <w:spacing w:val="2"/>
          <w:sz w:val="26"/>
          <w:szCs w:val="26"/>
        </w:rPr>
        <w:t xml:space="preserve">ТСН - </w:t>
      </w:r>
      <w:r>
        <w:rPr>
          <w:rFonts w:ascii="Times New Roman" w:hAnsi="Times New Roman"/>
          <w:spacing w:val="2"/>
          <w:sz w:val="26"/>
          <w:szCs w:val="26"/>
        </w:rPr>
        <w:t xml:space="preserve">502</w:t>
      </w:r>
      <w:r>
        <w:rPr>
          <w:rFonts w:ascii="Times New Roman" w:hAnsi="Times New Roman"/>
          <w:spacing w:val="2"/>
          <w:sz w:val="26"/>
          <w:szCs w:val="26"/>
        </w:rPr>
        <w:t xml:space="preserve">; ресурсоснабжающие организации - </w:t>
      </w:r>
      <w:r>
        <w:rPr>
          <w:rFonts w:ascii="Times New Roman" w:hAnsi="Times New Roman"/>
          <w:spacing w:val="2"/>
          <w:sz w:val="26"/>
          <w:szCs w:val="26"/>
        </w:rPr>
        <w:t xml:space="preserve">24</w:t>
      </w:r>
      <w:r>
        <w:rPr>
          <w:rFonts w:ascii="Times New Roman" w:hAnsi="Times New Roman"/>
          <w:spacing w:val="2"/>
          <w:sz w:val="26"/>
          <w:szCs w:val="26"/>
        </w:rPr>
        <w:t xml:space="preserve">2</w:t>
      </w:r>
      <w:r>
        <w:rPr>
          <w:rFonts w:ascii="Times New Roman" w:hAnsi="Times New Roman"/>
          <w:spacing w:val="2"/>
          <w:sz w:val="26"/>
          <w:szCs w:val="26"/>
        </w:rPr>
        <w:t xml:space="preserve">; </w:t>
      </w:r>
      <w:r>
        <w:rPr>
          <w:rFonts w:ascii="Times New Roman" w:hAnsi="Times New Roman"/>
          <w:spacing w:val="2"/>
          <w:sz w:val="26"/>
          <w:szCs w:val="26"/>
        </w:rPr>
        <w:t xml:space="preserve">с</w:t>
      </w:r>
      <w:r>
        <w:rPr>
          <w:rFonts w:ascii="Times New Roman" w:hAnsi="Times New Roman"/>
          <w:spacing w:val="2"/>
          <w:sz w:val="26"/>
          <w:szCs w:val="26"/>
        </w:rPr>
        <w:t xml:space="preserve">пециализированн</w:t>
      </w:r>
      <w:r>
        <w:rPr>
          <w:rFonts w:ascii="Times New Roman" w:hAnsi="Times New Roman"/>
          <w:spacing w:val="2"/>
          <w:sz w:val="26"/>
          <w:szCs w:val="26"/>
        </w:rPr>
        <w:t xml:space="preserve">ая</w:t>
      </w:r>
      <w:r>
        <w:rPr>
          <w:rFonts w:ascii="Times New Roman" w:hAnsi="Times New Roman"/>
          <w:spacing w:val="2"/>
          <w:sz w:val="26"/>
          <w:szCs w:val="26"/>
        </w:rPr>
        <w:t xml:space="preserve"> организаци</w:t>
      </w:r>
      <w:r>
        <w:rPr>
          <w:rFonts w:ascii="Times New Roman" w:hAnsi="Times New Roman"/>
          <w:spacing w:val="2"/>
          <w:sz w:val="26"/>
          <w:szCs w:val="26"/>
        </w:rPr>
        <w:t xml:space="preserve">я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 xml:space="preserve">(</w:t>
      </w:r>
      <w:r>
        <w:rPr>
          <w:rFonts w:ascii="Times New Roman" w:hAnsi="Times New Roman"/>
          <w:spacing w:val="2"/>
          <w:sz w:val="26"/>
          <w:szCs w:val="26"/>
        </w:rPr>
        <w:t xml:space="preserve">газораспределительная организация, осуществляющая транспортировку газа до места соединен</w:t>
      </w:r>
      <w:r>
        <w:rPr>
          <w:rFonts w:ascii="Times New Roman" w:hAnsi="Times New Roman"/>
          <w:spacing w:val="2"/>
          <w:sz w:val="26"/>
          <w:szCs w:val="26"/>
        </w:rPr>
        <w:t xml:space="preserve">ия сети газораспределения с газопроводом, входящим в состав внутридомового газового оборудования, а также осуществляющая деятельность по техническому обслуживанию и ремонту внутридомового газового оборудования в многоквартирном доме, техническому обслужива</w:t>
      </w:r>
      <w:r>
        <w:rPr>
          <w:rFonts w:ascii="Times New Roman" w:hAnsi="Times New Roman"/>
          <w:spacing w:val="2"/>
          <w:sz w:val="26"/>
          <w:szCs w:val="26"/>
        </w:rPr>
        <w:t xml:space="preserve">нию внутриквартирного газового оборудования в многоквартирном доме и техническому обслуживанию внутридомового газового оборудования в жилом доме (домовладении) с соблюдением требований, установленных законодательством о газоснабжении в Российской Федерации</w:t>
      </w:r>
      <w:r>
        <w:rPr>
          <w:rFonts w:ascii="Times New Roman" w:hAnsi="Times New Roman"/>
          <w:spacing w:val="2"/>
          <w:sz w:val="26"/>
          <w:szCs w:val="26"/>
        </w:rPr>
        <w:t xml:space="preserve">) </w:t>
      </w:r>
      <w:r>
        <w:rPr>
          <w:rFonts w:ascii="Times New Roman" w:hAnsi="Times New Roman"/>
          <w:spacing w:val="2"/>
          <w:sz w:val="26"/>
          <w:szCs w:val="26"/>
        </w:rPr>
        <w:t xml:space="preserve">–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 xml:space="preserve">1</w:t>
      </w:r>
      <w:r>
        <w:rPr>
          <w:rFonts w:ascii="Times New Roman" w:hAnsi="Times New Roman"/>
          <w:spacing w:val="2"/>
          <w:sz w:val="26"/>
          <w:szCs w:val="26"/>
        </w:rPr>
        <w:t xml:space="preserve">;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 xml:space="preserve">у</w:t>
      </w:r>
      <w:r>
        <w:rPr>
          <w:rFonts w:ascii="Times New Roman" w:hAnsi="Times New Roman"/>
          <w:spacing w:val="2"/>
          <w:sz w:val="26"/>
          <w:szCs w:val="26"/>
        </w:rPr>
        <w:t xml:space="preserve">правляющие организации</w:t>
      </w:r>
      <w:r>
        <w:rPr>
          <w:rFonts w:ascii="Times New Roman" w:hAnsi="Times New Roman"/>
          <w:spacing w:val="2"/>
          <w:sz w:val="26"/>
          <w:szCs w:val="26"/>
        </w:rPr>
        <w:t xml:space="preserve"> –</w:t>
      </w:r>
      <w:r>
        <w:rPr>
          <w:rFonts w:ascii="Times New Roman" w:hAnsi="Times New Roman"/>
          <w:spacing w:val="2"/>
          <w:sz w:val="26"/>
          <w:szCs w:val="26"/>
        </w:rPr>
        <w:t xml:space="preserve"> в</w:t>
      </w:r>
      <w:r>
        <w:rPr>
          <w:rFonts w:ascii="Times New Roman" w:hAnsi="Times New Roman"/>
          <w:spacing w:val="2"/>
          <w:sz w:val="26"/>
          <w:szCs w:val="26"/>
        </w:rPr>
        <w:t xml:space="preserve">ладельц</w:t>
      </w:r>
      <w:r>
        <w:rPr>
          <w:rFonts w:ascii="Times New Roman" w:hAnsi="Times New Roman"/>
          <w:spacing w:val="2"/>
          <w:sz w:val="26"/>
          <w:szCs w:val="26"/>
        </w:rPr>
        <w:t xml:space="preserve">ы </w:t>
      </w:r>
      <w:r>
        <w:rPr>
          <w:rFonts w:ascii="Times New Roman" w:hAnsi="Times New Roman"/>
          <w:spacing w:val="2"/>
          <w:sz w:val="26"/>
          <w:szCs w:val="26"/>
        </w:rPr>
        <w:t xml:space="preserve">спец</w:t>
      </w:r>
      <w:r>
        <w:rPr>
          <w:rFonts w:ascii="Times New Roman" w:hAnsi="Times New Roman"/>
          <w:spacing w:val="2"/>
          <w:sz w:val="26"/>
          <w:szCs w:val="26"/>
        </w:rPr>
        <w:t xml:space="preserve">иальных </w:t>
      </w:r>
      <w:r>
        <w:rPr>
          <w:rFonts w:ascii="Times New Roman" w:hAnsi="Times New Roman"/>
          <w:spacing w:val="2"/>
          <w:sz w:val="26"/>
          <w:szCs w:val="26"/>
        </w:rPr>
        <w:t xml:space="preserve">счетов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 xml:space="preserve">–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 xml:space="preserve">93</w:t>
      </w:r>
      <w:r>
        <w:rPr>
          <w:rFonts w:ascii="Times New Roman" w:hAnsi="Times New Roman"/>
          <w:spacing w:val="2"/>
          <w:sz w:val="26"/>
          <w:szCs w:val="26"/>
        </w:rPr>
        <w:t xml:space="preserve">, региональный оператор </w:t>
      </w:r>
      <w:r>
        <w:rPr>
          <w:rFonts w:ascii="Times New Roman" w:hAnsi="Times New Roman"/>
          <w:spacing w:val="2"/>
          <w:sz w:val="26"/>
          <w:szCs w:val="26"/>
        </w:rPr>
        <w:t xml:space="preserve">по обращению с твердыми коммунальными отходами</w:t>
      </w:r>
      <w:r>
        <w:rPr>
          <w:rFonts w:ascii="Times New Roman" w:hAnsi="Times New Roman"/>
          <w:spacing w:val="2"/>
          <w:sz w:val="26"/>
          <w:szCs w:val="26"/>
        </w:rPr>
        <w:t xml:space="preserve"> - 1</w:t>
      </w:r>
      <w:r>
        <w:rPr>
          <w:rFonts w:ascii="Times New Roman" w:hAnsi="Times New Roman"/>
          <w:spacing w:val="2"/>
          <w:sz w:val="26"/>
          <w:szCs w:val="26"/>
        </w:rPr>
        <w:t xml:space="preserve">.</w:t>
      </w:r>
      <w:r>
        <w:rPr>
          <w:rFonts w:ascii="Times New Roman" w:hAnsi="Times New Roman"/>
          <w:spacing w:val="2"/>
          <w:sz w:val="26"/>
          <w:szCs w:val="26"/>
        </w:rPr>
      </w:r>
      <w:r>
        <w:rPr>
          <w:rFonts w:ascii="Times New Roman" w:hAnsi="Times New Roman"/>
          <w:spacing w:val="2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Предметом государственного жилищного надзора является соблюдение юридическими лицами, индивидуальными предпринимателями и граждана</w:t>
      </w:r>
      <w:r>
        <w:rPr>
          <w:rFonts w:ascii="Times New Roman" w:hAnsi="Times New Roman"/>
          <w:sz w:val="26"/>
          <w:szCs w:val="26"/>
        </w:rPr>
        <w:t xml:space="preserve">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осуществления </w:t>
      </w:r>
      <w:r>
        <w:rPr>
          <w:rFonts w:ascii="Times New Roman" w:hAnsi="Times New Roman"/>
          <w:sz w:val="26"/>
          <w:szCs w:val="26"/>
        </w:rPr>
        <w:t xml:space="preserve">регионального </w:t>
      </w:r>
      <w:r>
        <w:rPr>
          <w:rFonts w:ascii="Times New Roman" w:hAnsi="Times New Roman"/>
          <w:sz w:val="26"/>
          <w:szCs w:val="26"/>
        </w:rPr>
        <w:t xml:space="preserve">государственного жилищного надзора Жилищной инспекцией Управления по надзору УР в 20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4 год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 был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проведен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26 пров</w:t>
      </w:r>
      <w:r>
        <w:rPr>
          <w:rFonts w:ascii="Times New Roman" w:hAnsi="Times New Roman"/>
          <w:sz w:val="26"/>
          <w:szCs w:val="26"/>
        </w:rPr>
        <w:t xml:space="preserve">ер</w:t>
      </w:r>
      <w:r>
        <w:rPr>
          <w:rFonts w:ascii="Times New Roman" w:hAnsi="Times New Roman"/>
          <w:sz w:val="26"/>
          <w:szCs w:val="26"/>
        </w:rPr>
        <w:t xml:space="preserve">ок, по результатам проведения которых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в адрес </w:t>
      </w:r>
      <w:r>
        <w:rPr>
          <w:rFonts w:ascii="Times New Roman" w:hAnsi="Times New Roman"/>
          <w:sz w:val="26"/>
          <w:szCs w:val="26"/>
        </w:rPr>
        <w:t xml:space="preserve">контролируемых</w:t>
      </w:r>
      <w:r>
        <w:rPr>
          <w:rFonts w:ascii="Times New Roman" w:hAnsi="Times New Roman"/>
          <w:sz w:val="26"/>
          <w:szCs w:val="26"/>
        </w:rPr>
        <w:t xml:space="preserve"> лиц было выдано </w:t>
      </w:r>
      <w:r>
        <w:rPr>
          <w:rFonts w:ascii="Times New Roman" w:hAnsi="Times New Roman"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 xml:space="preserve">предписани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 об устранении выявленных нарушений.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7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в 20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4 году проведено </w:t>
      </w: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9 мероприяти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 без взаимодействия  с юридическими лицами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7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 xml:space="preserve">государственного </w:t>
      </w:r>
      <w:r>
        <w:rPr>
          <w:rFonts w:ascii="Times New Roman" w:hAnsi="Times New Roman"/>
          <w:sz w:val="26"/>
          <w:szCs w:val="26"/>
        </w:rPr>
        <w:t xml:space="preserve">жилищного надзора в 202</w:t>
      </w:r>
      <w:r>
        <w:rPr>
          <w:rFonts w:ascii="Times New Roman" w:hAnsi="Times New Roman"/>
          <w:sz w:val="26"/>
          <w:szCs w:val="26"/>
        </w:rPr>
        <w:t xml:space="preserve">4 году было </w:t>
      </w:r>
      <w:r>
        <w:rPr>
          <w:rFonts w:ascii="Times New Roman" w:hAnsi="Times New Roman"/>
          <w:sz w:val="26"/>
          <w:szCs w:val="26"/>
        </w:rPr>
        <w:t xml:space="preserve">возбуждено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177</w:t>
      </w:r>
      <w:r>
        <w:rPr>
          <w:rFonts w:ascii="Times New Roman" w:hAnsi="Times New Roman"/>
          <w:sz w:val="26"/>
          <w:szCs w:val="26"/>
        </w:rPr>
        <w:t xml:space="preserve"> дел об административных правонарушениях, в том числе: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 протоколов по статье 7.22 КоАП РФ «Нарушение правил содержания и ремонта жилых домов и (или) жилых помещений»;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 протоколов по статье 7.23 КоАП РФ</w:t>
      </w:r>
      <w:r>
        <w:rPr>
          <w:rFonts w:ascii="Times New Roman" w:hAnsi="Times New Roman"/>
          <w:sz w:val="26"/>
          <w:szCs w:val="26"/>
        </w:rPr>
        <w:t xml:space="preserve"> « </w:t>
      </w:r>
      <w:r>
        <w:rPr>
          <w:rFonts w:ascii="Times New Roman" w:hAnsi="Times New Roman"/>
          <w:bCs/>
          <w:sz w:val="26"/>
          <w:szCs w:val="26"/>
        </w:rPr>
        <w:t xml:space="preserve">Нарушение нормативов обеспечения населения коммунальными услугами»;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 протоколов по ч. 1 ст. 19.5 КоАП РФ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муниципальный контроль, об устранении нарушений законодательства»; </w:t>
      </w:r>
      <w:r>
        <w:rPr>
          <w:rFonts w:ascii="Times New Roman" w:hAnsi="Times New Roman" w:eastAsia="Calibri"/>
          <w:sz w:val="26"/>
          <w:szCs w:val="26"/>
        </w:rPr>
      </w:r>
      <w:r>
        <w:rPr>
          <w:rFonts w:ascii="Times New Roman" w:hAnsi="Times New Roman" w:eastAsia="Calibri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 w:eastAsia="Arial" w:cs="Arial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3 протокол</w:t>
      </w:r>
      <w:r>
        <w:rPr>
          <w:rFonts w:ascii="Times New Roman" w:hAnsi="Times New Roman"/>
          <w:sz w:val="26"/>
          <w:szCs w:val="26"/>
        </w:rPr>
        <w:t xml:space="preserve">а по статье 19.7 КоАП РФ «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Непредставление сведений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(информации)</w:t>
      </w:r>
      <w:r>
        <w:rPr>
          <w:rFonts w:ascii="PT Astra Serif" w:hAnsi="PT Astra Serif" w:eastAsia="PT Astra Serif" w:cs="PT Astra Serif"/>
          <w:b/>
          <w:color w:val="000000"/>
          <w:sz w:val="26"/>
          <w:szCs w:val="26"/>
        </w:rPr>
        <w:t xml:space="preserve">»</w:t>
      </w:r>
      <w:r>
        <w:rPr>
          <w:rFonts w:ascii="Arial" w:hAnsi="Arial" w:eastAsia="Arial" w:cs="Arial"/>
          <w:b/>
          <w:color w:val="000000"/>
          <w:sz w:val="24"/>
        </w:rPr>
        <w:t xml:space="preserve">;</w:t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</w:r>
      <w:r>
        <w:rPr>
          <w:rFonts w:ascii="Times New Roman" w:hAnsi="Times New Roman"/>
          <w:sz w:val="26"/>
          <w:szCs w:val="26"/>
        </w:rPr>
        <w:t xml:space="preserve">16 протокол</w:t>
      </w:r>
      <w:r>
        <w:rPr>
          <w:rFonts w:ascii="Times New Roman" w:hAnsi="Times New Roman"/>
          <w:sz w:val="26"/>
          <w:szCs w:val="26"/>
        </w:rPr>
        <w:t xml:space="preserve">ов по части 1 статьи 20.25 КоАП РФ «Неуплата административного штрафа в срок, предусмотренный КоАП РФ»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9"/>
        <w:ind w:firstLine="567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97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протокол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 ст.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6.24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КоАП РФ «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Нарушение установленного федеральным </w:t>
      </w:r>
      <w:r>
        <w:rPr>
          <w:rFonts w:ascii="PT Astra Serif" w:hAnsi="PT Astra Serif" w:eastAsia="PT Astra Serif" w:cs="PT Astra Serif"/>
          <w:bCs/>
          <w:sz w:val="26"/>
          <w:szCs w:val="26"/>
        </w:rPr>
        <w:fldChar w:fldCharType="begin"/>
      </w:r>
      <w:r>
        <w:rPr>
          <w:rFonts w:ascii="PT Astra Serif" w:hAnsi="PT Astra Serif" w:eastAsia="PT Astra Serif" w:cs="PT Astra Serif"/>
          <w:bCs/>
          <w:sz w:val="26"/>
          <w:szCs w:val="26"/>
        </w:rPr>
        <w:instrText xml:space="preserve">HYPERLINK consultantplus://offline/ref=E04358304914A1565C78D00BC9DA0E0C2065C70B5ECAA6C49FBB76A4A62EE1C268FE1B9ABB560D427E12B5A23572A5D1965E657E0B93E9ACZ2lEH </w:instrText>
      </w:r>
      <w:r>
        <w:rPr>
          <w:rFonts w:ascii="PT Astra Serif" w:hAnsi="PT Astra Serif" w:eastAsia="PT Astra Serif" w:cs="PT Astra Serif"/>
          <w:bCs/>
          <w:sz w:val="26"/>
          <w:szCs w:val="26"/>
        </w:rPr>
        <w:fldChar w:fldCharType="separate"/>
      </w:r>
      <w:r>
        <w:rPr>
          <w:rStyle w:val="929"/>
          <w:rFonts w:ascii="PT Astra Serif" w:hAnsi="PT Astra Serif" w:eastAsia="PT Astra Serif" w:cs="PT Astra Serif"/>
          <w:bCs/>
          <w:color w:val="000000"/>
          <w:sz w:val="26"/>
          <w:szCs w:val="26"/>
          <w:u w:val="none"/>
        </w:rPr>
        <w:t xml:space="preserve">законом</w:t>
      </w:r>
      <w:r>
        <w:rPr>
          <w:rFonts w:ascii="PT Astra Serif" w:hAnsi="PT Astra Serif" w:eastAsia="PT Astra Serif" w:cs="PT Astra Serif"/>
          <w:bCs/>
          <w:sz w:val="26"/>
          <w:szCs w:val="26"/>
        </w:rPr>
        <w:fldChar w:fldCharType="end"/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 запрета курения табака, потребления никотинсодержащей продукции или использования кальянов на отдельных территориях, в помещениях и на объектах»;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Cs/>
          <w:sz w:val="26"/>
          <w:szCs w:val="26"/>
          <w:highlight w:val="none"/>
        </w:rPr>
        <w:t xml:space="preserve">17  протоколов по части 3  статьи 9.23 КоАП РФ «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Нарушение правил обеспечения безопасного использования и содержания внутридомового и внутриквартирного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газового оборудования».</w:t>
      </w:r>
      <w:r>
        <w:rPr>
          <w:rFonts w:ascii="PT Astra Serif" w:hAnsi="PT Astra Serif" w:cs="PT Astra Serif"/>
          <w:b/>
          <w:bCs/>
          <w:color w:val="000000"/>
          <w:sz w:val="26"/>
          <w:szCs w:val="26"/>
        </w:rPr>
      </w:r>
      <w:r>
        <w:rPr>
          <w:rFonts w:ascii="PT Astra Serif" w:hAnsi="PT Astra Serif" w:cs="PT Astra Serif"/>
          <w:b/>
          <w:bCs/>
          <w:color w:val="000000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Жилищной инспекцией Управления по надзору УР </w:t>
      </w:r>
      <w:r>
        <w:rPr>
          <w:rFonts w:ascii="Times New Roman" w:hAnsi="Times New Roman"/>
          <w:sz w:val="26"/>
          <w:szCs w:val="26"/>
        </w:rPr>
        <w:t xml:space="preserve">в 202</w:t>
      </w:r>
      <w:r>
        <w:rPr>
          <w:rFonts w:ascii="Times New Roman" w:hAnsi="Times New Roman"/>
          <w:sz w:val="26"/>
          <w:szCs w:val="26"/>
        </w:rPr>
        <w:t xml:space="preserve">4 году рассмотрено </w:t>
      </w:r>
      <w:r>
        <w:rPr>
          <w:rFonts w:ascii="Times New Roman" w:hAnsi="Times New Roman"/>
          <w:sz w:val="26"/>
          <w:szCs w:val="26"/>
        </w:rPr>
        <w:t xml:space="preserve">172 дела об административных правонарушениях, наложено штрафов на сумму </w:t>
      </w: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304 200</w:t>
      </w:r>
      <w:r>
        <w:rPr>
          <w:rFonts w:ascii="Times New Roman" w:hAnsi="Times New Roman"/>
          <w:sz w:val="26"/>
          <w:szCs w:val="26"/>
        </w:rPr>
        <w:t xml:space="preserve"> рублей.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Особое внимание в работе Управления по надзору УР уделяется профила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тике нарушений.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1"/>
        <w:ind w:firstLine="567"/>
        <w:jc w:val="both"/>
        <w:spacing w:before="0" w:after="0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На официальном сайте в информационно-телекоммуникационной сети «Интернет» Управления по надзору УР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(далее-официальный сайт Главного управления) размещены перечни нормативных правовых акто</w:t>
      </w:r>
      <w:r>
        <w:rPr>
          <w:sz w:val="26"/>
          <w:szCs w:val="26"/>
        </w:rPr>
        <w:t xml:space="preserve">в, содержащих обязательные требования, соблюдение которых оценивается при осуществлении государственного жилищного надзора, а также тексты данных правовых актов. Перечни нормативных правовых актов и тексты этих актов поддерживаются в актуальном состоянии.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Проведены публичные обсуждения итогов правоприменительной практики.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contextualSpacing/>
        <w:ind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постоянной основе проводилась разъяснительная работа в средствах массовой информации по вопросам соблюдения обязательных требований жилищного  законодательства и законодательства об энергосбережении.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contextualSpacing/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6"/>
          <w:szCs w:val="26"/>
        </w:rPr>
        <w:outlineLvl w:val="2"/>
      </w:pPr>
      <w:r>
        <w:rPr>
          <w:rFonts w:ascii="Times New Roman" w:hAnsi="Times New Roman"/>
          <w:sz w:val="26"/>
          <w:szCs w:val="26"/>
        </w:rPr>
        <w:t xml:space="preserve">Обеспечено функционирование телефона «Горячей линии» по вопросам соблюдения  требований  жилищного законодательства и законодательства об энергосбережении.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Осуществляется устное и письменное консультирование поднадзорных субъектов.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В  202</w:t>
      </w:r>
      <w:r>
        <w:rPr>
          <w:rFonts w:ascii="Times New Roman" w:hAnsi="Times New Roman"/>
          <w:sz w:val="26"/>
          <w:szCs w:val="26"/>
        </w:rPr>
        <w:t xml:space="preserve">4 году  в рамках осуществления государственного жилищного надзора, в целях профилактики нарушений обязательных  тр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бований жилищного законодательства и законодательства об энергосбережении,  выдано </w:t>
      </w:r>
      <w:r>
        <w:rPr>
          <w:rFonts w:ascii="Times New Roman" w:hAnsi="Times New Roman"/>
          <w:sz w:val="26"/>
          <w:szCs w:val="26"/>
        </w:rPr>
        <w:t xml:space="preserve">107 предостережени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 о недопущении нарушений обязательных  требов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ний.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909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</w:t>
      </w:r>
      <w:r>
        <w:rPr>
          <w:rFonts w:ascii="Times New Roman" w:hAnsi="Times New Roman"/>
          <w:sz w:val="26"/>
          <w:szCs w:val="26"/>
        </w:rPr>
        <w:t xml:space="preserve">с учетом </w:t>
      </w:r>
      <w:r>
        <w:rPr>
          <w:rFonts w:ascii="Times New Roman" w:hAnsi="Times New Roman"/>
          <w:sz w:val="26"/>
          <w:szCs w:val="26"/>
        </w:rPr>
        <w:t xml:space="preserve">требований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п. 35</w:t>
      </w:r>
      <w:r>
        <w:rPr>
          <w:rFonts w:ascii="Times New Roman" w:hAnsi="Times New Roman"/>
          <w:sz w:val="26"/>
          <w:szCs w:val="26"/>
        </w:rPr>
        <w:t xml:space="preserve"> Положения № 533 в отношении 19 контролируемых лиц были проведены </w:t>
      </w:r>
      <w:r>
        <w:rPr>
          <w:rFonts w:ascii="Times New Roman" w:hAnsi="Times New Roman"/>
          <w:sz w:val="26"/>
          <w:szCs w:val="26"/>
        </w:rPr>
        <w:t xml:space="preserve">профилактические визиты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highlight w:val="none"/>
        </w:rPr>
        <w:t xml:space="preserve">В ходе профилактических  визитов  контролируемые лица проинформированы  об обязательных  требованиях,  предъявляемых  к их деятельности,  их соответствии критериям риска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отсутствие необходимого уровня знаний требований законодательства у </w:t>
      </w:r>
      <w:r>
        <w:rPr>
          <w:rFonts w:ascii="Times New Roman" w:hAnsi="Times New Roman"/>
          <w:sz w:val="26"/>
          <w:szCs w:val="26"/>
        </w:rPr>
        <w:t xml:space="preserve">граждан, у </w:t>
      </w:r>
      <w:r>
        <w:rPr>
          <w:rFonts w:ascii="Times New Roman" w:hAnsi="Times New Roman"/>
          <w:sz w:val="26"/>
          <w:szCs w:val="26"/>
        </w:rPr>
        <w:t xml:space="preserve">руководителей юридических лиц и работников,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отсутствие со стороны руководителей подконтрольных субъектов надлежащего контроля за соблюдением исполнения соответствующих публично-правовых обязанностей, п</w:t>
      </w:r>
      <w:r>
        <w:rPr>
          <w:rFonts w:ascii="Times New Roman" w:hAnsi="Times New Roman"/>
          <w:sz w:val="26"/>
          <w:szCs w:val="26"/>
        </w:rPr>
        <w:t xml:space="preserve">робелы в законодательстве, большой объем нормативно-правовых актов, регулирующих сферу деятельности подконтрольных субъектов и их систематическое изменение.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  <w:t xml:space="preserve">С целью решения данных проблем Жилищная инспекция продолжит профилактическую работу, с целью повышения уровня информированности подконтрольных субъектов по вопросам собл</w:t>
      </w:r>
      <w:r>
        <w:rPr>
          <w:rFonts w:ascii="Times New Roman" w:hAnsi="Times New Roman"/>
          <w:sz w:val="26"/>
          <w:szCs w:val="26"/>
        </w:rPr>
        <w:t xml:space="preserve">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государственного жилищного надзора,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повышения уровня правовой грамотности подконтрольных субъектов, обеспечения единообразия понимания предмета контроля подконтрольными субъектами,</w:t>
      </w:r>
      <w:r>
        <w:rPr>
          <w:rFonts w:ascii="Times New Roman" w:hAnsi="Times New Roman"/>
          <w:sz w:val="26"/>
          <w:szCs w:val="26"/>
        </w:rPr>
        <w:t xml:space="preserve"> мотивации подконтрольных субъектов к добросовестному поведению и сознательному соблюдению обязательных требований.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jc w:val="center"/>
        <w:spacing w:after="0" w:line="240" w:lineRule="auto"/>
        <w:widowControl w:val="off"/>
        <w:rPr>
          <w:rFonts w:cs="Calibri"/>
          <w:b/>
          <w:szCs w:val="20"/>
        </w:rPr>
        <w:outlineLvl w:val="1"/>
      </w:pPr>
      <w:r>
        <w:rPr>
          <w:rFonts w:cs="Calibri"/>
          <w:b/>
          <w:szCs w:val="20"/>
        </w:rPr>
      </w:r>
      <w:r>
        <w:rPr>
          <w:rFonts w:cs="Calibri"/>
          <w:b/>
          <w:szCs w:val="20"/>
        </w:rPr>
      </w:r>
      <w:r>
        <w:rPr>
          <w:rFonts w:cs="Calibri"/>
          <w:b/>
          <w:szCs w:val="20"/>
        </w:rPr>
      </w:r>
    </w:p>
    <w:p>
      <w:pPr>
        <w:pStyle w:val="909"/>
        <w:jc w:val="center"/>
        <w:spacing w:after="0" w:line="240" w:lineRule="auto"/>
        <w:widowControl w:val="off"/>
        <w:outlineLvl w:val="1"/>
      </w:pPr>
      <w:r>
        <w:rPr>
          <w:rFonts w:cs="Calibri"/>
          <w:b/>
          <w:szCs w:val="20"/>
        </w:rPr>
      </w:r>
      <w:r/>
    </w:p>
    <w:p>
      <w:pPr>
        <w:pStyle w:val="909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Раздел 2. Цели и задачи профилактической работы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9"/>
        <w:jc w:val="both"/>
        <w:spacing w:after="0" w:line="240" w:lineRule="auto"/>
        <w:widowControl w:val="off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  <w:r>
        <w:rPr>
          <w:rFonts w:cs="Calibri"/>
          <w:sz w:val="26"/>
          <w:szCs w:val="26"/>
        </w:rPr>
      </w:r>
      <w:r>
        <w:rPr>
          <w:rFonts w:cs="Calibri"/>
          <w:sz w:val="26"/>
          <w:szCs w:val="26"/>
        </w:rPr>
      </w:r>
    </w:p>
    <w:p>
      <w:pPr>
        <w:pStyle w:val="909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.</w:t>
      </w:r>
      <w:r>
        <w:rPr>
          <w:rFonts w:ascii="Times New Roman" w:hAnsi="Times New Roman"/>
          <w:b/>
          <w:sz w:val="26"/>
          <w:szCs w:val="26"/>
        </w:rPr>
        <w:t xml:space="preserve">1.</w:t>
      </w:r>
      <w:r>
        <w:rPr>
          <w:rFonts w:ascii="Times New Roman" w:hAnsi="Times New Roman"/>
          <w:b/>
          <w:sz w:val="26"/>
          <w:szCs w:val="26"/>
        </w:rPr>
        <w:t xml:space="preserve"> Целями профилактической работы являются: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09"/>
        <w:ind w:firstLine="600"/>
        <w:jc w:val="both"/>
        <w:spacing w:after="0" w:line="240" w:lineRule="auto"/>
        <w:tabs>
          <w:tab w:val="left" w:pos="89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предупреждение нарушений юридическими лицами и индивидуальными предпринимателями обязательных требований, установленных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жилищным законодательством  и закон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дательством об энергосбережении;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600"/>
        <w:jc w:val="both"/>
        <w:spacing w:after="0" w:line="240" w:lineRule="auto"/>
        <w:widowControl w:val="off"/>
        <w:rPr>
          <w:rFonts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устранение причин, факторов и условий, способствующих нарушениям обязательных требований, установленных жилищным законодательством  и законодательством об эне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госбережении;</w:t>
      </w:r>
      <w:r>
        <w:rPr>
          <w:rFonts w:cs="Calibri"/>
          <w:sz w:val="26"/>
          <w:szCs w:val="26"/>
        </w:rPr>
      </w:r>
      <w:r>
        <w:rPr>
          <w:rFonts w:cs="Calibri"/>
          <w:sz w:val="26"/>
          <w:szCs w:val="26"/>
        </w:rPr>
      </w:r>
    </w:p>
    <w:p>
      <w:pPr>
        <w:pStyle w:val="909"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повышение прозрачности системы государственного контроля (надзора) и эффективности осуществления контрольно-надзорной деятельности Управления по надзору УР.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b/>
          <w:sz w:val="26"/>
          <w:szCs w:val="26"/>
        </w:rPr>
        <w:t xml:space="preserve">Основными задачами профилактической работы являются: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09"/>
        <w:ind w:firstLine="600"/>
        <w:jc w:val="both"/>
        <w:keepLines/>
        <w:keepNext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выявление причин, факторов и условий, способствующих нарушениям обязательных требований, установленных жилищным законодательством  и законодательством об эне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госбережении;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осуществление планирования и проведения профилактики нарушений об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тий;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600"/>
        <w:jc w:val="both"/>
        <w:keepLines/>
        <w:keepNext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повышение правосознания и правовой культуры подконтрольных субъектов.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ind w:firstLine="540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9"/>
        <w:ind w:firstLine="540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9"/>
        <w:ind w:firstLine="540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9"/>
        <w:ind w:firstLine="540"/>
        <w:jc w:val="center"/>
        <w:spacing w:after="0" w:line="240" w:lineRule="auto"/>
        <w:widowControl w:val="off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</w:r>
      <w:r>
        <w:rPr>
          <w:rFonts w:ascii="Times New Roman" w:hAnsi="Times New Roman"/>
          <w:b/>
          <w:color w:val="0070c0"/>
          <w:sz w:val="28"/>
          <w:szCs w:val="28"/>
        </w:rPr>
      </w:r>
      <w:r>
        <w:rPr>
          <w:rFonts w:ascii="Times New Roman" w:hAnsi="Times New Roman"/>
          <w:b/>
          <w:color w:val="0070c0"/>
          <w:sz w:val="28"/>
          <w:szCs w:val="28"/>
        </w:rPr>
      </w:r>
    </w:p>
    <w:p>
      <w:pPr>
        <w:pStyle w:val="909"/>
        <w:ind w:firstLine="567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При осуществлении государственного жилищного надзора проводятся следующие профилактические мероприятия: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9"/>
        <w:ind w:firstLine="567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1) информирование;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9"/>
        <w:ind w:firstLine="567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2) обобщение правоприменительной практики; 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9"/>
        <w:ind w:firstLine="567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3) объявление предостережения;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9"/>
        <w:ind w:firstLine="567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4) консультирование;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9"/>
        <w:ind w:firstLine="567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5)</w:t>
      </w:r>
      <w:r>
        <w:rPr>
          <w:rFonts w:ascii="Times New Roman" w:hAnsi="Times New Roman"/>
          <w:color w:val="000000"/>
          <w:sz w:val="26"/>
          <w:szCs w:val="26"/>
          <w:lang w:eastAsia="en-US" w:bidi="hi-IN"/>
        </w:rPr>
        <w:t xml:space="preserve"> профилактический визит. 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tbl>
      <w:tblPr>
        <w:tblW w:w="9844" w:type="dxa"/>
        <w:tblInd w:w="-7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7"/>
        <w:gridCol w:w="2187"/>
        <w:gridCol w:w="2472"/>
        <w:gridCol w:w="2269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мер</w:t>
            </w:r>
            <w:r>
              <w:rPr>
                <w:rFonts w:ascii="Times New Roman" w:hAnsi="Times New Roman"/>
                <w:b/>
              </w:rPr>
              <w:t xml:space="preserve">о</w:t>
            </w:r>
            <w:r>
              <w:rPr>
                <w:rFonts w:ascii="Times New Roman" w:hAnsi="Times New Roman"/>
                <w:b/>
              </w:rPr>
              <w:t xml:space="preserve">приятия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мероприятия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(периоди</w:t>
            </w:r>
            <w:r>
              <w:rPr>
                <w:rFonts w:ascii="Times New Roman" w:hAnsi="Times New Roman"/>
                <w:b/>
              </w:rPr>
              <w:t xml:space="preserve">ч</w:t>
            </w:r>
            <w:r>
              <w:rPr>
                <w:rFonts w:ascii="Times New Roman" w:hAnsi="Times New Roman"/>
                <w:b/>
              </w:rPr>
              <w:t xml:space="preserve">ность) проведения меропри</w:t>
            </w:r>
            <w:r>
              <w:rPr>
                <w:rFonts w:ascii="Times New Roman" w:hAnsi="Times New Roman"/>
                <w:b/>
              </w:rPr>
              <w:t xml:space="preserve">я</w:t>
            </w:r>
            <w:r>
              <w:rPr>
                <w:rFonts w:ascii="Times New Roman" w:hAnsi="Times New Roman"/>
                <w:b/>
              </w:rPr>
              <w:t xml:space="preserve">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Ответственное структурное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подраздел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ние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(ответственные должностные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</w:t>
            </w:r>
            <w:r>
              <w:rPr>
                <w:rFonts w:ascii="Times New Roman" w:hAnsi="Times New Roman"/>
                <w:b/>
              </w:rPr>
              <w:t xml:space="preserve">и</w:t>
            </w:r>
            <w:r>
              <w:rPr>
                <w:rFonts w:ascii="Times New Roman" w:hAnsi="Times New Roman"/>
                <w:b/>
              </w:rPr>
              <w:t xml:space="preserve">ца)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Размещение 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информационно - телекоммуникационной сети «Интернет», на сайте Управления по надзору УР нормативно-правовых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Первый заместитель начальника Главного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отдел государственной службы, кадровой работы и информационного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Пополнение, актуализация перечней нормативно-правовых актов, содержащих обязательные требования, соблюдение которых оценивается при проведении мероприятий по контролю (надзору)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издания новых нормативных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вовых актов или внесения изменений в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ствующие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-Начальник Жилищной инспекции;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отдел государственной службы, кадровой работы и информационного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и р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азмещение на официальном сайте Управления по надзору УР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руководств по соблюдению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 в год, в течение 3 рабочих дней после подготовки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ачальники отделов Жилищной инспекции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отдел государственной службы, кадровой работы и информационного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Размещение на официальном сайте Управления по надзору 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90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август -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ентябрь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лицензирования и надзора за деятельностью юридических лиц, управляющих многоквартирными домами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Разработка, утверждение и размещение на официальном сайте Управления по надзору 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программы профилактики рисков причинения вреда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 декабря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года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Первый заместитель начальника Главного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отдел государственной службы, кадровой работы и информационного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и размещение на официальном сайте Управления по надзору УР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доклада о государственном контроле (надзоре)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15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Первый заместитель начальника Главного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отдел государственной службы, кадровой работы и информационного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и размещение на официальном сайте Управления по надзору УР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докладов, содержащих результаты обобщения правоприменительной практики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Первый заместитель начальника Главного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отдел государственной службы, кадровой работы и информационного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Объявление 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составление и направление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со статьи 49 Федерального закона № 248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 наличии 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ний, предусмотренных Федеральным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HYPERLINK "consultantplus://offline/ref=C356E3BA0AC1D6E88D8E362209B5CD136D02B6AE1B31071DF63165EE3DA8666ADAC560914CC64A533FB10A2419t0SAI"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248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начальники отделов Жилищной инспекции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  <w:t xml:space="preserve">Консультирование в соответствии со статьей 50 Федерального закона № 248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Консультирование  по телефону, посредством видео-конференц-связи, на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личном приеме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,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либо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года,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мере необходимости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начальники отделов Жилищной инспекции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Проведение профилактических визитов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соответствии со статьи 52 Федерального закона № 248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профилактические визиты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numPr>
                <w:ilvl w:val="0"/>
                <w:numId w:val="32"/>
              </w:numPr>
              <w:ind w:left="0" w:firstLine="0"/>
              <w:jc w:val="center"/>
              <w:spacing w:after="0" w:line="240" w:lineRule="auto"/>
              <w:widowControl w:val="off"/>
              <w:tabs>
                <w:tab w:val="left" w:pos="22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Пушкинская, 192»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(ИНН 1800011109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–  февраль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left" w:pos="22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tabs>
                <w:tab w:val="left" w:pos="222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2.ТСН «Тишинские высоты» (ИНН 1800020350)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left" w:pos="222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-май 2024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left" w:pos="22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ТСН «Восточная, 14» (ИНН 1800020632)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-май 2024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отдел лицензирования и надзора за деятельностью юридических лиц, управляющих многоквартирными домами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отдел контроля за формированием фондов капитал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ьного ремонта и расчетами платы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отдел жилищного надзора и лицензионного контроля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отдел по контролю за раскрытием информации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0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Проведение профилактических визитов по заявлению контролируемых  лиц,   в соответствии с  ч.ч.10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13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ст. 52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Федерального закона № 248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tcW w:w="2472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профилактические визиты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</w:p>
        </w:tc>
        <w:tc>
          <w:tcPr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ind w:left="0" w:firstLine="0"/>
              <w:jc w:val="left"/>
              <w:spacing w:after="0" w:line="240" w:lineRule="auto"/>
              <w:widowControl w:val="off"/>
              <w:tabs>
                <w:tab w:val="left" w:pos="22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Перечень контролируемых лиц определяется приложением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настоящему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Приказу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отдел лицензирования и надзора за деятельностью юридических лиц, управляющих многоквартирными домами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отдел контроля за формированием фондов капитал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ьного ремонта и расчетами платы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отдел жилищного надзора и лицензионного контроля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отдел по контролю за раскрытием информации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909"/>
        <w:contextualSpacing/>
        <w:jc w:val="center"/>
        <w:spacing w:before="375" w:after="0" w:line="240" w:lineRule="auto"/>
        <w:rPr>
          <w:rFonts w:ascii="Times New Roman" w:hAnsi="Times New Roman"/>
          <w:b/>
          <w:spacing w:val="2"/>
          <w:sz w:val="28"/>
          <w:szCs w:val="28"/>
        </w:rPr>
        <w:outlineLvl w:val="2"/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Times New Roman" w:hAnsi="Times New Roman"/>
          <w:b/>
          <w:spacing w:val="2"/>
          <w:sz w:val="28"/>
          <w:szCs w:val="28"/>
        </w:rPr>
      </w: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909"/>
        <w:contextualSpacing/>
        <w:jc w:val="center"/>
        <w:spacing w:before="375" w:after="0" w:line="240" w:lineRule="auto"/>
        <w:rPr>
          <w:rFonts w:ascii="Times New Roman" w:hAnsi="Times New Roman"/>
          <w:b/>
          <w:spacing w:val="2"/>
          <w:sz w:val="28"/>
          <w:szCs w:val="28"/>
        </w:rPr>
        <w:outlineLvl w:val="2"/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программы профилактики</w:t>
      </w:r>
      <w:r>
        <w:rPr>
          <w:rFonts w:ascii="Times New Roman" w:hAnsi="Times New Roman"/>
          <w:b/>
          <w:spacing w:val="2"/>
          <w:sz w:val="28"/>
          <w:szCs w:val="28"/>
        </w:rPr>
      </w: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909"/>
        <w:ind w:firstLine="567"/>
        <w:jc w:val="center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27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устано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ленных жилищным законодательством и законодательством об энергосбереж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нии, соблюдение которых оценивается при проведении Управлением по надзору УР регионального государственного жилищного надзора, устанавливаются следующие отчетные показатели: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27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8364" w:type="dxa"/>
        <w:jc w:val="center"/>
        <w:tblInd w:w="-7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545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/>
        </w:trPr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Значение показателя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 год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ind w:firstLine="3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законодательства,%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91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09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09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9"/>
        <w:jc w:val="center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_______________________________________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567" w:footer="60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603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right"/>
    </w:pPr>
    <w:r/>
    <w:r/>
  </w:p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7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9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51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23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95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7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isLgl w:val="false"/>
      <w:suff w:val="tab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7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9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51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23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95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7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362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4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86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6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852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34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776" w:hanging="216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515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75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95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55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95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55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75" w:hanging="2160"/>
      </w:pPr>
      <w:rPr>
        <w:rFonts w:cs="Times New Roman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5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9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1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3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5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7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9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62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76" w:hanging="216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55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85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1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45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216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6" w:hanging="8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788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08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8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2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28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88" w:hanging="216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62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76" w:hanging="216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55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85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1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45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216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eastAsia="Times New Roman" w:cs="Times New Roman"/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30"/>
  </w:num>
  <w:num w:numId="4">
    <w:abstractNumId w:val="9"/>
  </w:num>
  <w:num w:numId="5">
    <w:abstractNumId w:val="2"/>
  </w:num>
  <w:num w:numId="6">
    <w:abstractNumId w:val="15"/>
  </w:num>
  <w:num w:numId="7">
    <w:abstractNumId w:val="24"/>
  </w:num>
  <w:num w:numId="8">
    <w:abstractNumId w:val="18"/>
  </w:num>
  <w:num w:numId="9">
    <w:abstractNumId w:val="29"/>
  </w:num>
  <w:num w:numId="10">
    <w:abstractNumId w:val="10"/>
  </w:num>
  <w:num w:numId="11">
    <w:abstractNumId w:val="0"/>
  </w:num>
  <w:num w:numId="12">
    <w:abstractNumId w:val="23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7"/>
  </w:num>
  <w:num w:numId="18">
    <w:abstractNumId w:val="25"/>
  </w:num>
  <w:num w:numId="19">
    <w:abstractNumId w:val="22"/>
  </w:num>
  <w:num w:numId="20">
    <w:abstractNumId w:val="16"/>
  </w:num>
  <w:num w:numId="21">
    <w:abstractNumId w:val="31"/>
  </w:num>
  <w:num w:numId="22">
    <w:abstractNumId w:val="5"/>
  </w:num>
  <w:num w:numId="23">
    <w:abstractNumId w:val="4"/>
  </w:num>
  <w:num w:numId="24">
    <w:abstractNumId w:val="12"/>
  </w:num>
  <w:num w:numId="25">
    <w:abstractNumId w:val="14"/>
  </w:num>
  <w:num w:numId="26">
    <w:abstractNumId w:val="17"/>
  </w:num>
  <w:num w:numId="27">
    <w:abstractNumId w:val="26"/>
  </w:num>
  <w:num w:numId="28">
    <w:abstractNumId w:val="20"/>
  </w:num>
  <w:num w:numId="29">
    <w:abstractNumId w:val="28"/>
  </w:num>
  <w:num w:numId="30">
    <w:abstractNumId w:val="21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9"/>
    <w:next w:val="909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9"/>
    <w:next w:val="909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9"/>
    <w:next w:val="909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9"/>
    <w:next w:val="909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9"/>
    <w:next w:val="909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9"/>
    <w:next w:val="909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9"/>
    <w:next w:val="909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9"/>
    <w:next w:val="909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9"/>
    <w:next w:val="909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next w:val="909"/>
    <w:link w:val="909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910">
    <w:name w:val="Заголовок 1"/>
    <w:basedOn w:val="909"/>
    <w:next w:val="909"/>
    <w:link w:val="935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11">
    <w:name w:val="Заголовок 3"/>
    <w:basedOn w:val="909"/>
    <w:next w:val="909"/>
    <w:link w:val="93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912">
    <w:name w:val="Заголовок 4"/>
    <w:basedOn w:val="909"/>
    <w:next w:val="909"/>
    <w:link w:val="940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13">
    <w:name w:val="Основной шрифт абзаца"/>
    <w:next w:val="913"/>
    <w:link w:val="909"/>
    <w:semiHidden/>
  </w:style>
  <w:style w:type="table" w:styleId="914">
    <w:name w:val="Обычная таблица"/>
    <w:next w:val="914"/>
    <w:link w:val="909"/>
    <w:semiHidden/>
    <w:tblPr/>
  </w:style>
  <w:style w:type="numbering" w:styleId="915">
    <w:name w:val="Нет списка"/>
    <w:next w:val="915"/>
    <w:link w:val="909"/>
    <w:semiHidden/>
  </w:style>
  <w:style w:type="paragraph" w:styleId="916">
    <w:name w:val="Обычный (веб)"/>
    <w:basedOn w:val="909"/>
    <w:next w:val="916"/>
    <w:link w:val="909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paragraph" w:styleId="917">
    <w:name w:val="Верхний колонтитул"/>
    <w:basedOn w:val="909"/>
    <w:next w:val="917"/>
    <w:link w:val="92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8">
    <w:name w:val="Верхний колонтитул Знак"/>
    <w:next w:val="918"/>
    <w:link w:val="909"/>
    <w:semiHidden/>
    <w:rPr>
      <w:rFonts w:cs="Times New Roman"/>
    </w:rPr>
  </w:style>
  <w:style w:type="paragraph" w:styleId="919">
    <w:name w:val="Основной текст 2"/>
    <w:basedOn w:val="909"/>
    <w:next w:val="919"/>
    <w:link w:val="922"/>
    <w:pPr>
      <w:ind w:firstLine="709"/>
      <w:jc w:val="both"/>
      <w:spacing w:after="120" w:line="480" w:lineRule="auto"/>
    </w:pPr>
    <w:rPr>
      <w:sz w:val="24"/>
      <w:szCs w:val="24"/>
    </w:rPr>
  </w:style>
  <w:style w:type="character" w:styleId="920">
    <w:name w:val="Основной текст 2 Знак"/>
    <w:next w:val="920"/>
    <w:link w:val="909"/>
    <w:semiHidden/>
    <w:rPr>
      <w:rFonts w:cs="Times New Roman"/>
    </w:rPr>
  </w:style>
  <w:style w:type="character" w:styleId="921">
    <w:name w:val="Верхний колонтитул Знак1"/>
    <w:next w:val="921"/>
    <w:link w:val="917"/>
    <w:rPr>
      <w:rFonts w:ascii="Calibri" w:hAnsi="Calibri" w:eastAsia="Times New Roman" w:cs="Times New Roman"/>
    </w:rPr>
  </w:style>
  <w:style w:type="character" w:styleId="922">
    <w:name w:val="Основной текст 2 Знак1"/>
    <w:next w:val="922"/>
    <w:link w:val="919"/>
    <w:rPr>
      <w:rFonts w:ascii="Calibri" w:hAnsi="Calibri" w:eastAsia="Times New Roman" w:cs="Times New Roman"/>
      <w:sz w:val="24"/>
      <w:szCs w:val="24"/>
    </w:rPr>
  </w:style>
  <w:style w:type="paragraph" w:styleId="923">
    <w:name w:val="Нижний колонтитул"/>
    <w:basedOn w:val="909"/>
    <w:next w:val="923"/>
    <w:link w:val="92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>
    <w:name w:val="Нижний колонтитул Знак"/>
    <w:next w:val="924"/>
    <w:link w:val="923"/>
    <w:rPr>
      <w:rFonts w:cs="Times New Roman"/>
    </w:rPr>
  </w:style>
  <w:style w:type="paragraph" w:styleId="925">
    <w:name w:val="Текст выноски"/>
    <w:basedOn w:val="909"/>
    <w:next w:val="925"/>
    <w:link w:val="926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6">
    <w:name w:val="Текст выноски Знак"/>
    <w:next w:val="926"/>
    <w:link w:val="925"/>
    <w:semiHidden/>
    <w:rPr>
      <w:rFonts w:ascii="Tahoma" w:hAnsi="Tahoma" w:cs="Tahoma"/>
      <w:sz w:val="16"/>
      <w:szCs w:val="16"/>
    </w:rPr>
  </w:style>
  <w:style w:type="paragraph" w:styleId="927">
    <w:name w:val="List Paragraph"/>
    <w:basedOn w:val="909"/>
    <w:next w:val="927"/>
    <w:link w:val="909"/>
    <w:pPr>
      <w:ind w:left="720"/>
    </w:pPr>
  </w:style>
  <w:style w:type="table" w:styleId="928">
    <w:name w:val="Сетка таблицы"/>
    <w:basedOn w:val="914"/>
    <w:next w:val="928"/>
    <w:link w:val="909"/>
    <w:rPr>
      <w:lang w:val="ru-RU" w:eastAsia="ru-RU" w:bidi="ar-SA"/>
    </w:rPr>
    <w:tblPr/>
  </w:style>
  <w:style w:type="character" w:styleId="929">
    <w:name w:val="Гиперссылка"/>
    <w:next w:val="929"/>
    <w:link w:val="909"/>
    <w:rPr>
      <w:rFonts w:cs="Times New Roman"/>
      <w:color w:val="0000ff"/>
      <w:u w:val="single"/>
    </w:rPr>
  </w:style>
  <w:style w:type="table" w:styleId="930">
    <w:name w:val="Сетка таблицы1"/>
    <w:next w:val="930"/>
    <w:link w:val="909"/>
    <w:rPr>
      <w:lang w:val="ru-RU" w:eastAsia="en-US" w:bidi="ar-SA"/>
    </w:rPr>
    <w:tblPr/>
  </w:style>
  <w:style w:type="paragraph" w:styleId="931">
    <w:name w:val="Текст"/>
    <w:basedOn w:val="909"/>
    <w:next w:val="931"/>
    <w:link w:val="932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932">
    <w:name w:val="Текст Знак"/>
    <w:next w:val="932"/>
    <w:link w:val="931"/>
    <w:rPr>
      <w:rFonts w:ascii="Courier New" w:hAnsi="Courier New" w:cs="Times New Roman"/>
      <w:sz w:val="20"/>
      <w:szCs w:val="20"/>
    </w:rPr>
  </w:style>
  <w:style w:type="paragraph" w:styleId="933">
    <w:name w:val="ConsPlusNormal"/>
    <w:next w:val="933"/>
    <w:link w:val="909"/>
    <w:pPr>
      <w:widowControl w:val="off"/>
    </w:pPr>
    <w:rPr>
      <w:rFonts w:cs="Calibri"/>
      <w:sz w:val="22"/>
      <w:lang w:val="ru-RU" w:eastAsia="ru-RU" w:bidi="ar-SA"/>
    </w:rPr>
  </w:style>
  <w:style w:type="paragraph" w:styleId="934">
    <w:name w:val="ConsPlusTitle"/>
    <w:next w:val="934"/>
    <w:link w:val="909"/>
    <w:pPr>
      <w:widowControl w:val="off"/>
    </w:pPr>
    <w:rPr>
      <w:rFonts w:cs="Calibri"/>
      <w:b/>
      <w:sz w:val="22"/>
      <w:lang w:val="ru-RU" w:eastAsia="ru-RU" w:bidi="ar-SA"/>
    </w:rPr>
  </w:style>
  <w:style w:type="character" w:styleId="935">
    <w:name w:val="Заголовок 1 Знак"/>
    <w:next w:val="935"/>
    <w:link w:val="910"/>
    <w:rPr>
      <w:rFonts w:ascii="Cambria" w:hAnsi="Cambria" w:eastAsia="Times New Roman" w:cs="Times New Roman"/>
      <w:b/>
      <w:bCs/>
      <w:sz w:val="32"/>
      <w:szCs w:val="32"/>
    </w:rPr>
  </w:style>
  <w:style w:type="table" w:styleId="936">
    <w:name w:val="Сетка таблицы15"/>
    <w:basedOn w:val="914"/>
    <w:next w:val="928"/>
    <w:link w:val="909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7">
    <w:name w:val="Абзац списка"/>
    <w:basedOn w:val="909"/>
    <w:next w:val="937"/>
    <w:link w:val="909"/>
    <w:uiPriority w:val="34"/>
    <w:qFormat/>
    <w:pPr>
      <w:contextualSpacing/>
      <w:ind w:left="720"/>
    </w:pPr>
    <w:rPr>
      <w:rFonts w:ascii="Calibri" w:hAnsi="Calibri" w:eastAsia="Calibri" w:cs="Times New Roman"/>
      <w:lang w:eastAsia="en-US"/>
    </w:rPr>
  </w:style>
  <w:style w:type="table" w:styleId="938">
    <w:name w:val="Сетка таблицы2"/>
    <w:basedOn w:val="914"/>
    <w:next w:val="928"/>
    <w:link w:val="90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39">
    <w:name w:val="Заголовок 3 Знак"/>
    <w:next w:val="939"/>
    <w:link w:val="911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40">
    <w:name w:val="Заголовок 4 Знак"/>
    <w:next w:val="940"/>
    <w:link w:val="912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941">
    <w:name w:val="rtecenter"/>
    <w:basedOn w:val="909"/>
    <w:next w:val="941"/>
    <w:link w:val="909"/>
    <w:pPr>
      <w:jc w:val="center"/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mcko</dc:creator>
  <cp:revision>8</cp:revision>
  <dcterms:created xsi:type="dcterms:W3CDTF">2023-10-03T12:24:00Z</dcterms:created>
  <dcterms:modified xsi:type="dcterms:W3CDTF">2024-09-20T09:51:52Z</dcterms:modified>
  <cp:version>917504</cp:version>
</cp:coreProperties>
</file>