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38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05"/>
              <w:ind w:left="-249"/>
              <w:jc w:val="right"/>
              <w:spacing w:after="0" w:line="240" w:lineRule="auto"/>
              <w:tabs>
                <w:tab w:val="left" w:pos="467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05"/>
        <w:jc w:val="center"/>
        <w:spacing w:after="0" w:line="240" w:lineRule="auto"/>
        <w:shd w:val="clear" w:color="auto" w:fill="ffffff"/>
        <w:tabs>
          <w:tab w:val="left" w:pos="4678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профилактики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рисков причинения вреда 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соблюдение которых оценивается при </w:t>
      </w:r>
      <w:r>
        <w:rPr>
          <w:rFonts w:ascii="Times New Roman" w:hAnsi="Times New Roman"/>
          <w:b/>
          <w:sz w:val="28"/>
          <w:szCs w:val="28"/>
        </w:rPr>
        <w:t xml:space="preserve">осуществлении </w:t>
      </w:r>
      <w:r>
        <w:rPr>
          <w:rFonts w:ascii="Times New Roman" w:hAnsi="Times New Roman"/>
          <w:b/>
          <w:sz w:val="28"/>
          <w:szCs w:val="28"/>
        </w:rPr>
        <w:t xml:space="preserve">Главным управлением по государственному надзору Удмуртской Республики </w:t>
      </w:r>
      <w:r>
        <w:rPr>
          <w:rFonts w:ascii="Times New Roman" w:hAnsi="Times New Roman"/>
          <w:b/>
          <w:sz w:val="28"/>
          <w:szCs w:val="28"/>
        </w:rPr>
        <w:t xml:space="preserve">л</w:t>
      </w:r>
      <w:r>
        <w:rPr>
          <w:rFonts w:ascii="Times New Roman" w:hAnsi="Times New Roman"/>
          <w:b/>
          <w:sz w:val="28"/>
          <w:szCs w:val="28"/>
        </w:rPr>
        <w:t xml:space="preserve">ицензионного контрол</w:t>
      </w:r>
      <w:r>
        <w:rPr>
          <w:rFonts w:ascii="Times New Roman" w:hAnsi="Times New Roman"/>
          <w:b/>
          <w:sz w:val="28"/>
          <w:szCs w:val="28"/>
        </w:rPr>
        <w:t xml:space="preserve"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осуществлением </w:t>
      </w:r>
      <w:r>
        <w:rPr>
          <w:rFonts w:ascii="Times New Roman" w:hAnsi="Times New Roman"/>
          <w:b/>
          <w:sz w:val="28"/>
          <w:szCs w:val="28"/>
        </w:rPr>
        <w:t xml:space="preserve">предпринимательской деятельности по управлению многоквартирн</w:t>
      </w:r>
      <w:r>
        <w:rPr>
          <w:rFonts w:ascii="Times New Roman" w:hAnsi="Times New Roman"/>
          <w:b/>
          <w:sz w:val="28"/>
          <w:szCs w:val="28"/>
        </w:rPr>
        <w:t xml:space="preserve">ы</w:t>
      </w:r>
      <w:r>
        <w:rPr>
          <w:rFonts w:ascii="Times New Roman" w:hAnsi="Times New Roman"/>
          <w:b/>
          <w:sz w:val="28"/>
          <w:szCs w:val="28"/>
        </w:rPr>
        <w:t xml:space="preserve">ми домами</w:t>
      </w:r>
      <w:r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5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contextualSpacing/>
        <w:ind w:left="6372"/>
        <w:spacing w:before="375" w:after="0" w:line="240" w:lineRule="auto"/>
        <w:rPr>
          <w:rFonts w:ascii="Times New Roman" w:hAnsi="Times New Roman"/>
          <w:spacing w:val="2"/>
          <w:sz w:val="24"/>
          <w:szCs w:val="24"/>
        </w:rPr>
        <w:outlineLvl w:val="2"/>
      </w:pP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905"/>
        <w:contextualSpacing/>
        <w:ind w:left="6372"/>
        <w:spacing w:before="375" w:after="0" w:line="240" w:lineRule="auto"/>
        <w:rPr>
          <w:rFonts w:ascii="Times New Roman" w:hAnsi="Times New Roman"/>
          <w:spacing w:val="2"/>
          <w:sz w:val="24"/>
          <w:szCs w:val="24"/>
        </w:rPr>
        <w:outlineLvl w:val="2"/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        </w:t>
      </w:r>
      <w:r>
        <w:rPr>
          <w:rFonts w:ascii="Times New Roman" w:hAnsi="Times New Roman"/>
          <w:spacing w:val="2"/>
          <w:sz w:val="24"/>
          <w:szCs w:val="24"/>
        </w:rPr>
      </w:r>
      <w:r>
        <w:rPr>
          <w:rFonts w:ascii="Times New Roman" w:hAnsi="Times New Roman"/>
          <w:spacing w:val="2"/>
          <w:sz w:val="24"/>
          <w:szCs w:val="24"/>
        </w:rPr>
      </w:r>
    </w:p>
    <w:p>
      <w:pPr>
        <w:pStyle w:val="905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Раздел 1. Анализ </w:t>
      </w:r>
      <w:r>
        <w:rPr>
          <w:rFonts w:ascii="Times New Roman" w:hAnsi="Times New Roman"/>
          <w:b/>
          <w:sz w:val="28"/>
          <w:szCs w:val="28"/>
        </w:rPr>
        <w:t xml:space="preserve">текущего состояния осуществления лицензионного контроля предпринимательской деятельности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по управлению многоквартирн</w:t>
      </w:r>
      <w:r>
        <w:rPr>
          <w:rFonts w:ascii="Times New Roman" w:hAnsi="Times New Roman"/>
          <w:b/>
          <w:sz w:val="28"/>
          <w:szCs w:val="28"/>
        </w:rPr>
        <w:t xml:space="preserve">ы</w:t>
      </w:r>
      <w:r>
        <w:rPr>
          <w:rFonts w:ascii="Times New Roman" w:hAnsi="Times New Roman"/>
          <w:b/>
          <w:sz w:val="28"/>
          <w:szCs w:val="28"/>
        </w:rPr>
        <w:t xml:space="preserve">ми домами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widowControl w:val="off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Управление  по надзору УР является </w:t>
      </w:r>
      <w:r>
        <w:rPr>
          <w:rFonts w:ascii="Times New Roman" w:hAnsi="Times New Roman"/>
          <w:spacing w:val="2"/>
          <w:sz w:val="26"/>
          <w:szCs w:val="26"/>
        </w:rPr>
        <w:t xml:space="preserve">исполнительным органом</w:t>
      </w:r>
      <w:r>
        <w:rPr>
          <w:rFonts w:ascii="Times New Roman" w:hAnsi="Times New Roman"/>
          <w:spacing w:val="2"/>
          <w:sz w:val="26"/>
          <w:szCs w:val="26"/>
        </w:rPr>
        <w:t xml:space="preserve"> Удмуртской Республики </w:t>
      </w:r>
      <w:r>
        <w:rPr>
          <w:rFonts w:ascii="Times New Roman" w:hAnsi="Times New Roman"/>
          <w:spacing w:val="2"/>
          <w:sz w:val="26"/>
          <w:szCs w:val="26"/>
        </w:rPr>
        <w:t xml:space="preserve">осуществляющим функцию  </w:t>
      </w:r>
      <w:r>
        <w:rPr>
          <w:rFonts w:ascii="Times New Roman" w:hAnsi="Times New Roman"/>
          <w:sz w:val="26"/>
          <w:szCs w:val="26"/>
        </w:rPr>
        <w:t xml:space="preserve">лицензионного контроля за осуществлением </w:t>
      </w:r>
      <w:r>
        <w:rPr>
          <w:rFonts w:ascii="Times New Roman" w:hAnsi="Times New Roman"/>
          <w:sz w:val="26"/>
          <w:szCs w:val="26"/>
        </w:rPr>
        <w:t xml:space="preserve"> предпринимательской деятельности по управлению многоквартирн</w:t>
      </w:r>
      <w:r>
        <w:rPr>
          <w:rFonts w:ascii="Times New Roman" w:hAnsi="Times New Roman"/>
          <w:sz w:val="26"/>
          <w:szCs w:val="26"/>
        </w:rPr>
        <w:t xml:space="preserve">ы</w:t>
      </w:r>
      <w:r>
        <w:rPr>
          <w:rFonts w:ascii="Times New Roman" w:hAnsi="Times New Roman"/>
          <w:sz w:val="26"/>
          <w:szCs w:val="26"/>
        </w:rPr>
        <w:t xml:space="preserve">ми домами</w:t>
      </w:r>
      <w:r>
        <w:rPr>
          <w:rFonts w:ascii="Times New Roman" w:hAnsi="Times New Roman"/>
          <w:sz w:val="26"/>
          <w:szCs w:val="26"/>
        </w:rPr>
        <w:t xml:space="preserve"> (далее - лицензионный контроль)</w:t>
      </w:r>
      <w:r>
        <w:rPr>
          <w:rFonts w:ascii="Times New Roman" w:hAnsi="Times New Roman"/>
          <w:spacing w:val="2"/>
          <w:sz w:val="26"/>
          <w:szCs w:val="26"/>
        </w:rPr>
        <w:t xml:space="preserve">. </w:t>
      </w:r>
      <w:r>
        <w:rPr>
          <w:rFonts w:ascii="Times New Roman" w:hAnsi="Times New Roman"/>
          <w:spacing w:val="2"/>
          <w:sz w:val="26"/>
          <w:szCs w:val="26"/>
        </w:rPr>
      </w:r>
      <w:r>
        <w:rPr>
          <w:rFonts w:ascii="Times New Roman" w:hAnsi="Times New Roman"/>
          <w:spacing w:val="2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Лицензионный контроль на территории Удмуртской Республики также осуществляется органами местного самоуправления</w:t>
      </w:r>
      <w:r>
        <w:rPr>
          <w:rFonts w:ascii="Times New Roman" w:hAnsi="Times New Roman"/>
          <w:sz w:val="26"/>
          <w:szCs w:val="26"/>
        </w:rPr>
        <w:t xml:space="preserve"> муниципальных образований, образованных на территории Удмуртской Республики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, наделенными отдельными государственными полномочиями Удмуртской Республики по осуществлению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лицензионного контроля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 в соответствии с Законом Удмуртской Республики от 30.06.2014 № 40-РЗ </w:t>
      </w:r>
      <w:r>
        <w:rPr>
          <w:rFonts w:ascii="Times New Roman" w:hAnsi="Times New Roman"/>
          <w:sz w:val="26"/>
          <w:szCs w:val="26"/>
        </w:rPr>
        <w:t xml:space="preserve">«О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</w:t>
      </w:r>
      <w:r>
        <w:rPr>
          <w:rFonts w:ascii="Times New Roman" w:hAnsi="Times New Roman"/>
          <w:sz w:val="26"/>
          <w:szCs w:val="26"/>
        </w:rPr>
        <w:t xml:space="preserve">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«Об установлении административной ответственности за отдельные виды правонарушений».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Предметом лицензионного контроля является соблюдение </w:t>
      </w:r>
      <w:r>
        <w:rPr>
          <w:rFonts w:ascii="Times New Roman" w:hAnsi="Times New Roman"/>
          <w:sz w:val="26"/>
          <w:szCs w:val="26"/>
        </w:rPr>
        <w:t xml:space="preserve">обязательных </w:t>
      </w:r>
      <w:r>
        <w:rPr>
          <w:rFonts w:ascii="Times New Roman" w:hAnsi="Times New Roman"/>
          <w:sz w:val="26"/>
          <w:szCs w:val="26"/>
        </w:rPr>
        <w:t xml:space="preserve">требований при осуществлении </w:t>
      </w:r>
      <w:r>
        <w:rPr>
          <w:rFonts w:ascii="Times New Roman" w:hAnsi="Times New Roman"/>
          <w:spacing w:val="2"/>
          <w:sz w:val="26"/>
          <w:szCs w:val="26"/>
        </w:rPr>
        <w:t xml:space="preserve">предпринимательской деятельности по управлению многоквартирными домами.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Субъектами лицензионно</w:t>
      </w:r>
      <w:r>
        <w:rPr>
          <w:rFonts w:ascii="Times New Roman" w:hAnsi="Times New Roman"/>
          <w:spacing w:val="2"/>
          <w:sz w:val="26"/>
          <w:szCs w:val="26"/>
        </w:rPr>
        <w:t xml:space="preserve">го контроля в сфере осуществления предпринимательской деятельности по управлению многоквартирными домами являются юридические лица или индивидуальные предприниматели, о</w:t>
      </w:r>
      <w:r>
        <w:rPr>
          <w:rFonts w:ascii="Times New Roman" w:hAnsi="Times New Roman"/>
          <w:spacing w:val="2"/>
          <w:sz w:val="26"/>
          <w:szCs w:val="26"/>
        </w:rPr>
        <w:t xml:space="preserve">существляющие деятельность по управлению многоквартирными домами на осно</w:t>
      </w:r>
      <w:r>
        <w:rPr>
          <w:rFonts w:ascii="Times New Roman" w:hAnsi="Times New Roman"/>
          <w:spacing w:val="2"/>
          <w:sz w:val="26"/>
          <w:szCs w:val="26"/>
        </w:rPr>
        <w:t xml:space="preserve">вании лицензии (</w:t>
      </w:r>
      <w:r>
        <w:rPr>
          <w:rFonts w:ascii="Times New Roman" w:hAnsi="Times New Roman"/>
          <w:sz w:val="26"/>
          <w:szCs w:val="26"/>
        </w:rPr>
        <w:t xml:space="preserve">далее также – подконтрольные субъекты).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 w:themeColor="text1"/>
          <w:spacing w:val="2"/>
          <w:sz w:val="26"/>
          <w:szCs w:val="26"/>
          <w:u w:val="none"/>
        </w:rPr>
      </w:pPr>
      <w:r>
        <w:rPr>
          <w:rFonts w:ascii="Times New Roman" w:hAnsi="Times New Roman"/>
          <w:spacing w:val="2"/>
          <w:sz w:val="26"/>
          <w:szCs w:val="26"/>
        </w:rPr>
        <w:t xml:space="preserve">Количество подконтрольных субъектов -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93</w:t>
      </w:r>
      <w:r>
        <w:rPr>
          <w:rFonts w:ascii="Times New Roman" w:hAnsi="Times New Roman"/>
          <w:color w:val="000000" w:themeColor="text1"/>
          <w:spacing w:val="2"/>
          <w:sz w:val="26"/>
          <w:szCs w:val="26"/>
          <w:u w:val="none"/>
        </w:rPr>
        <w:t xml:space="preserve"> лицензиата.</w:t>
      </w:r>
      <w:r>
        <w:rPr>
          <w:rFonts w:ascii="Times New Roman" w:hAnsi="Times New Roman"/>
          <w:color w:val="000000" w:themeColor="text1"/>
          <w:spacing w:val="2"/>
          <w:sz w:val="26"/>
          <w:szCs w:val="26"/>
          <w:u w:val="none"/>
        </w:rPr>
      </w:r>
      <w:r>
        <w:rPr>
          <w:rFonts w:ascii="Times New Roman" w:hAnsi="Times New Roman"/>
          <w:color w:val="000000" w:themeColor="text1"/>
          <w:spacing w:val="2"/>
          <w:sz w:val="26"/>
          <w:szCs w:val="26"/>
          <w:u w:val="none"/>
        </w:rPr>
      </w:r>
    </w:p>
    <w:p>
      <w:pPr>
        <w:pStyle w:val="933"/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4 году </w:t>
      </w:r>
      <w:r>
        <w:rPr>
          <w:rFonts w:ascii="Times New Roman" w:hAnsi="Times New Roman"/>
          <w:sz w:val="26"/>
          <w:szCs w:val="26"/>
        </w:rPr>
        <w:t xml:space="preserve">в рамках лицензионного контроля </w:t>
      </w:r>
      <w:r>
        <w:rPr>
          <w:rFonts w:ascii="Times New Roman" w:hAnsi="Times New Roman"/>
          <w:sz w:val="26"/>
          <w:szCs w:val="26"/>
        </w:rPr>
        <w:t xml:space="preserve">проведено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81 мероприяти</w:t>
      </w:r>
      <w:r>
        <w:rPr>
          <w:rFonts w:ascii="Times New Roman" w:hAnsi="Times New Roman"/>
          <w:sz w:val="26"/>
          <w:szCs w:val="26"/>
        </w:rPr>
        <w:t xml:space="preserve">е без взаимодействия  с юридическими лицами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 xml:space="preserve">В рамках лицензионного контроля в 202</w:t>
      </w:r>
      <w:r>
        <w:rPr>
          <w:rFonts w:ascii="Times New Roman" w:hAnsi="Times New Roman"/>
          <w:sz w:val="26"/>
          <w:szCs w:val="26"/>
        </w:rPr>
        <w:t xml:space="preserve">4 году было возбуждено </w:t>
      </w:r>
      <w:r>
        <w:rPr>
          <w:rFonts w:ascii="Times New Roman" w:hAnsi="Times New Roman"/>
          <w:sz w:val="26"/>
          <w:szCs w:val="26"/>
          <w:highlight w:val="none"/>
        </w:rPr>
        <w:t xml:space="preserve">55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 д</w:t>
      </w:r>
      <w:r>
        <w:rPr>
          <w:rFonts w:ascii="Times New Roman" w:hAnsi="Times New Roman"/>
          <w:color w:val="000000" w:themeColor="text1"/>
          <w:sz w:val="26"/>
          <w:szCs w:val="26"/>
          <w:highlight w:val="white"/>
        </w:rPr>
        <w:t xml:space="preserve">ел об административных правонарушениях, в том числе:</w:t>
      </w:r>
      <w:r>
        <w:rPr>
          <w:rFonts w:ascii="Times New Roman" w:hAnsi="Times New Roman"/>
          <w:sz w:val="26"/>
          <w:szCs w:val="26"/>
          <w:highlight w:val="yellow"/>
        </w:rPr>
        <w:t xml:space="preserve"> </w:t>
      </w: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6"/>
          <w:szCs w:val="26"/>
          <w:highlight w:val="yellow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43</w:t>
      </w:r>
      <w:r>
        <w:rPr>
          <w:rFonts w:ascii="Times New Roman" w:hAnsi="Times New Roman"/>
          <w:sz w:val="26"/>
          <w:szCs w:val="26"/>
        </w:rPr>
        <w:t xml:space="preserve"> протокол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  по части 2 статьи 14.1.3 КоАП РФ «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Осуществление предпринимательской деятельности по управлению многоквартирными домами с нарушением лицензионных требований»;</w:t>
      </w:r>
      <w:r>
        <w:rPr>
          <w:rFonts w:ascii="Times New Roman" w:hAnsi="Times New Roman" w:eastAsia="Calibri"/>
          <w:sz w:val="26"/>
          <w:szCs w:val="26"/>
        </w:rPr>
      </w:r>
      <w:r>
        <w:rPr>
          <w:rFonts w:ascii="Times New Roman" w:hAnsi="Times New Roman" w:eastAsia="Calibri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 протокол</w:t>
      </w:r>
      <w:r>
        <w:rPr>
          <w:rFonts w:ascii="Times New Roman" w:hAnsi="Times New Roman"/>
          <w:sz w:val="26"/>
          <w:szCs w:val="26"/>
        </w:rPr>
        <w:t xml:space="preserve">ов  по части 3 статьи 14.1.3 КоАП РФ «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Осуществление предпринимательской деятельности по управлению многоквартирными домами с грубым нарушением лицензионных требований»;</w:t>
      </w:r>
      <w:r>
        <w:rPr>
          <w:rFonts w:ascii="Times New Roman" w:hAnsi="Times New Roman" w:eastAsia="Calibri"/>
          <w:sz w:val="26"/>
          <w:szCs w:val="26"/>
        </w:rPr>
      </w:r>
      <w:r>
        <w:rPr>
          <w:rFonts w:ascii="Times New Roman" w:hAnsi="Times New Roman" w:eastAsia="Calibri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  <w:outlineLvl w:val="0"/>
      </w:pPr>
      <w:r>
        <w:rPr>
          <w:rFonts w:ascii="Times New Roman" w:hAnsi="Times New Roman"/>
          <w:sz w:val="26"/>
          <w:szCs w:val="26"/>
        </w:rPr>
        <w:t xml:space="preserve">1 </w:t>
      </w:r>
      <w:r>
        <w:rPr>
          <w:rFonts w:ascii="Times New Roman" w:hAnsi="Times New Roman"/>
          <w:sz w:val="26"/>
          <w:szCs w:val="26"/>
        </w:rPr>
        <w:t xml:space="preserve"> протокол</w:t>
      </w:r>
      <w:r>
        <w:rPr>
          <w:rFonts w:ascii="Times New Roman" w:hAnsi="Times New Roman"/>
          <w:sz w:val="26"/>
          <w:szCs w:val="26"/>
        </w:rPr>
        <w:t xml:space="preserve"> по статье 7.23.3 КоАП РФ «</w:t>
      </w:r>
      <w:r>
        <w:rPr>
          <w:rFonts w:ascii="Times New Roman" w:hAnsi="Times New Roman"/>
          <w:bCs/>
          <w:sz w:val="26"/>
          <w:szCs w:val="26"/>
        </w:rPr>
        <w:t xml:space="preserve">Нарушение правил осуществления предпринимательской деятельности по управлению многоквартирными домами»</w:t>
      </w:r>
      <w:r>
        <w:rPr>
          <w:rFonts w:ascii="Times New Roman" w:hAnsi="Times New Roman"/>
          <w:bCs/>
          <w:sz w:val="26"/>
          <w:szCs w:val="26"/>
          <w:highlight w:val="none"/>
        </w:rPr>
        <w:t xml:space="preserve">;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Cs/>
          <w:sz w:val="26"/>
          <w:szCs w:val="26"/>
          <w:highlight w:val="none"/>
        </w:rPr>
        <w:t xml:space="preserve">1  протокол по  части 24 статьи 19.5 КоАП РФ 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«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нного надзора (должностного лица), органа (должностного лица), осуществляющего муниципальный конт</w:t>
      </w:r>
      <w:r>
        <w:rPr>
          <w:rFonts w:ascii="PT Astra Serif" w:hAnsi="PT Astra Serif" w:eastAsia="PT Astra Serif" w:cs="PT Astra Serif"/>
          <w:b w:val="0"/>
          <w:bCs w:val="0"/>
          <w:color w:val="000000"/>
          <w:sz w:val="26"/>
          <w:szCs w:val="26"/>
        </w:rPr>
        <w:t xml:space="preserve">роль</w:t>
      </w:r>
      <w:r>
        <w:rPr>
          <w:rFonts w:ascii="Arial" w:hAnsi="Arial" w:eastAsia="Arial" w:cs="Arial"/>
          <w:b w:val="0"/>
          <w:bCs w:val="0"/>
          <w:color w:val="000000"/>
          <w:sz w:val="24"/>
        </w:rPr>
        <w:t xml:space="preserve">»</w:t>
      </w:r>
      <w:r>
        <w:t xml:space="preserve">;</w:t>
      </w:r>
      <w:r>
        <w:rPr>
          <w:sz w:val="24"/>
        </w:rPr>
      </w:r>
      <w:r/>
    </w:p>
    <w:p>
      <w:pPr>
        <w:ind w:left="0" w:right="0" w:firstLine="540"/>
        <w:jc w:val="both"/>
        <w:spacing w:before="0" w:after="0"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t xml:space="preserve">1  протокол по статье  19.7 «Непредставление сведений (информации)»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  <w:t xml:space="preserve">Жилищной инспекцией Управления по надзору УР </w:t>
      </w:r>
      <w:r>
        <w:rPr>
          <w:rFonts w:ascii="Times New Roman" w:hAnsi="Times New Roman"/>
          <w:sz w:val="26"/>
          <w:szCs w:val="26"/>
        </w:rPr>
        <w:t xml:space="preserve">в 202</w:t>
      </w:r>
      <w:r>
        <w:rPr>
          <w:rFonts w:ascii="Times New Roman" w:hAnsi="Times New Roman"/>
          <w:sz w:val="26"/>
          <w:szCs w:val="26"/>
        </w:rPr>
        <w:t xml:space="preserve">4 году рассмотрено </w:t>
      </w:r>
      <w:r>
        <w:rPr>
          <w:rFonts w:ascii="Times New Roman" w:hAnsi="Times New Roman"/>
          <w:sz w:val="26"/>
          <w:szCs w:val="26"/>
        </w:rPr>
        <w:t xml:space="preserve">32 дела об административных правонарушениях, наложено штрафов на сумму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1 025 000 рублей.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 w:eastAsia="Calibri"/>
          <w:color w:val="000000" w:themeColor="text1"/>
          <w:sz w:val="26"/>
          <w:szCs w:val="26"/>
          <w:highlight w:val="white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В 202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4 году в Жилищную инспекцию Управления по надзору УР обрати</w:t>
      </w:r>
      <w:r>
        <w:rPr>
          <w:rFonts w:ascii="Times New Roman" w:hAnsi="Times New Roman" w:eastAsia="Calibri"/>
          <w:sz w:val="26"/>
          <w:szCs w:val="26"/>
          <w:highlight w:val="white"/>
          <w:lang w:eastAsia="en-US"/>
        </w:rPr>
        <w:t xml:space="preserve">лось</w:t>
      </w:r>
      <w:r>
        <w:rPr>
          <w:rFonts w:ascii="Times New Roman" w:hAnsi="Times New Roman" w:eastAsia="Calibri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eastAsia="Calibri"/>
          <w:color w:val="000000" w:themeColor="text1"/>
          <w:sz w:val="26"/>
          <w:szCs w:val="26"/>
          <w:highlight w:val="white"/>
          <w:lang w:eastAsia="en-US"/>
        </w:rPr>
        <w:t xml:space="preserve">1</w:t>
      </w:r>
      <w:r>
        <w:rPr>
          <w:rFonts w:ascii="Times New Roman" w:hAnsi="Times New Roman" w:eastAsia="Calibri"/>
          <w:color w:val="000000" w:themeColor="text1"/>
          <w:sz w:val="26"/>
          <w:szCs w:val="26"/>
          <w:highlight w:val="white"/>
          <w:lang w:eastAsia="en-US"/>
        </w:rPr>
        <w:t xml:space="preserve">0 соискателей лицензий с заявлением о предоставлении лицензии на право осуществления деятельности по управлению многоквартирными домами.</w:t>
      </w:r>
      <w:r>
        <w:rPr>
          <w:rFonts w:ascii="Times New Roman" w:hAnsi="Times New Roman" w:eastAsia="Calibri"/>
          <w:color w:val="000000" w:themeColor="text1"/>
          <w:sz w:val="26"/>
          <w:szCs w:val="26"/>
          <w:highlight w:val="white"/>
          <w:lang w:eastAsia="en-US"/>
        </w:rPr>
        <w:t xml:space="preserve"> </w:t>
      </w:r>
      <w:r>
        <w:rPr>
          <w:rFonts w:ascii="Times New Roman" w:hAnsi="Times New Roman" w:eastAsia="Calibri"/>
          <w:color w:val="000000" w:themeColor="text1"/>
          <w:sz w:val="26"/>
          <w:szCs w:val="26"/>
          <w:highlight w:val="white"/>
        </w:rPr>
      </w:r>
      <w:r>
        <w:rPr>
          <w:rFonts w:ascii="Times New Roman" w:hAnsi="Times New Roman" w:eastAsia="Calibri"/>
          <w:color w:val="000000" w:themeColor="text1"/>
          <w:sz w:val="26"/>
          <w:szCs w:val="26"/>
          <w:highlight w:val="white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 w:eastAsia="Calibri"/>
          <w:sz w:val="26"/>
          <w:szCs w:val="26"/>
          <w:lang w:eastAsia="en-US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Органом государственного жилищного надзора проведены проверки соответствия соискателей лицензий лицензионным требованиям, установленным частью 6 статьи 193 Жилищного кодекса Российской Федерации.</w:t>
      </w:r>
      <w:r>
        <w:rPr>
          <w:rFonts w:ascii="Times New Roman" w:hAnsi="Times New Roman" w:eastAsia="Calibri"/>
          <w:sz w:val="26"/>
          <w:szCs w:val="26"/>
          <w:lang w:eastAsia="en-US"/>
        </w:rPr>
      </w:r>
      <w:r>
        <w:rPr>
          <w:rFonts w:ascii="Times New Roman" w:hAnsi="Times New Roman" w:eastAsia="Calibri"/>
          <w:sz w:val="26"/>
          <w:szCs w:val="26"/>
          <w:lang w:eastAsia="en-US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Calibri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Особое внимание в работе Управления по надзору УР уделяется профила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тике нарушений.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37"/>
        <w:ind w:firstLine="567"/>
        <w:jc w:val="both"/>
        <w:spacing w:before="0" w:after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На официальном сайте в информационно-телекоммуникационной сети «Интернет» Управления по надзору УР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(далее-официальный сайт Главного управления) размещены перечни нормативных п</w:t>
      </w:r>
      <w:r>
        <w:rPr>
          <w:sz w:val="26"/>
          <w:szCs w:val="26"/>
        </w:rPr>
        <w:t xml:space="preserve">равовых актов, содержащих обязательные требования, соблюдение которых оценивается при осуществлении лицензионного контроля, а также тексты данных правовых актов. Перечни нормативных правовых актов и тексты этих актов поддерживаются в актуальном состоянии.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Проведены публичные обсуждения итогов правоприменительной практики.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contextualSpacing/>
        <w:ind w:firstLine="567"/>
        <w:jc w:val="both"/>
        <w:spacing w:after="0" w:line="240" w:lineRule="auto"/>
        <w:tabs>
          <w:tab w:val="left" w:pos="567" w:leader="none"/>
          <w:tab w:val="left" w:pos="851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постоянной основе проводи</w:t>
      </w:r>
      <w:r>
        <w:rPr>
          <w:rFonts w:ascii="Times New Roman" w:hAnsi="Times New Roman"/>
          <w:sz w:val="26"/>
          <w:szCs w:val="26"/>
        </w:rPr>
        <w:t xml:space="preserve">тся</w:t>
      </w:r>
      <w:r>
        <w:rPr>
          <w:rFonts w:ascii="Times New Roman" w:hAnsi="Times New Roman"/>
          <w:sz w:val="26"/>
          <w:szCs w:val="26"/>
        </w:rPr>
        <w:t xml:space="preserve"> разъяснительная работа в средствах массовой информации по вопросам соблюдения </w:t>
      </w:r>
      <w:r>
        <w:rPr>
          <w:rFonts w:ascii="Times New Roman" w:hAnsi="Times New Roman"/>
          <w:sz w:val="26"/>
          <w:szCs w:val="26"/>
        </w:rPr>
        <w:t xml:space="preserve">лицензионных </w:t>
      </w:r>
      <w:r>
        <w:rPr>
          <w:rFonts w:ascii="Times New Roman" w:hAnsi="Times New Roman"/>
          <w:sz w:val="26"/>
          <w:szCs w:val="26"/>
        </w:rPr>
        <w:t xml:space="preserve">требований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contextualSpacing/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6"/>
          <w:szCs w:val="26"/>
        </w:rPr>
        <w:outlineLvl w:val="2"/>
      </w:pPr>
      <w:r>
        <w:rPr>
          <w:rFonts w:ascii="Times New Roman" w:hAnsi="Times New Roman"/>
          <w:sz w:val="26"/>
          <w:szCs w:val="26"/>
        </w:rPr>
        <w:t xml:space="preserve">Обеспечено функционирование телефона «Горячей линии» по вопросам соблюдения  </w:t>
      </w:r>
      <w:r>
        <w:rPr>
          <w:rFonts w:ascii="Times New Roman" w:hAnsi="Times New Roman"/>
          <w:sz w:val="26"/>
          <w:szCs w:val="26"/>
        </w:rPr>
        <w:t xml:space="preserve">лицензионных </w:t>
      </w:r>
      <w:r>
        <w:rPr>
          <w:rFonts w:ascii="Times New Roman" w:hAnsi="Times New Roman"/>
          <w:sz w:val="26"/>
          <w:szCs w:val="26"/>
        </w:rPr>
        <w:t xml:space="preserve">требований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Осуществляется устное и письменное консультирование подконтрольных субъектов.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20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4  год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  в рамках осуществления лицензионного контроля, в целях профилактики нарушений обязательных  тр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бований выдано </w:t>
      </w:r>
      <w:r>
        <w:rPr>
          <w:rFonts w:ascii="Times New Roman" w:hAnsi="Times New Roman"/>
          <w:sz w:val="26"/>
          <w:szCs w:val="26"/>
        </w:rPr>
        <w:t xml:space="preserve">94 предостережени</w:t>
      </w:r>
      <w:r>
        <w:rPr>
          <w:rFonts w:ascii="Times New Roman" w:hAnsi="Times New Roman"/>
          <w:sz w:val="26"/>
          <w:szCs w:val="26"/>
        </w:rPr>
        <w:t xml:space="preserve">я о недопущении нарушений обязательных  требов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ний.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  <w:t xml:space="preserve">В отношении 13 подконтрольных  субъектов были проведены </w:t>
      </w:r>
      <w:r>
        <w:rPr>
          <w:rFonts w:ascii="Times New Roman" w:hAnsi="Times New Roman"/>
          <w:sz w:val="26"/>
          <w:szCs w:val="26"/>
        </w:rPr>
        <w:t xml:space="preserve">профилактические визиты</w:t>
      </w:r>
      <w:r>
        <w:rPr>
          <w:rFonts w:ascii="Times New Roman" w:hAnsi="Times New Roman"/>
          <w:sz w:val="26"/>
          <w:szCs w:val="26"/>
          <w:highlight w:val="none"/>
        </w:rPr>
        <w:t xml:space="preserve">. В ходе профилактических  визитов  контролируемые лица проинформированы  об обязательных  требованиях,  предъявляемых  к их деятельности,  их соответствии критериям риска. 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905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  <w:outlineLvl w:val="1"/>
      </w:pPr>
      <w:r>
        <w:rPr>
          <w:rFonts w:ascii="Times New Roman" w:hAnsi="Times New Roman"/>
          <w:sz w:val="26"/>
          <w:szCs w:val="26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лицензионных требований являются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тсутствие необходимого уровня знаний требований законодательства у руководителей юридических лиц и работников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отсутстви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е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 со стороны руководителей подконтрольных субъектов надлежащего контроля за соблюдением исполнения соответствующих публично-правовых обязанностей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, п</w:t>
      </w:r>
      <w:r>
        <w:rPr>
          <w:rFonts w:ascii="Times New Roman" w:hAnsi="Times New Roman"/>
          <w:sz w:val="26"/>
          <w:szCs w:val="26"/>
        </w:rPr>
        <w:t xml:space="preserve">робелы в законодательстве</w:t>
      </w:r>
      <w:r>
        <w:rPr>
          <w:rFonts w:ascii="Times New Roman" w:hAnsi="Times New Roman"/>
          <w:sz w:val="26"/>
          <w:szCs w:val="26"/>
        </w:rPr>
        <w:t xml:space="preserve">, большой объем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нормативно-правовых актов, регулирующих сферу деятельности подконтрольных субъектов</w:t>
      </w:r>
      <w:r>
        <w:rPr>
          <w:rFonts w:ascii="Times New Roman" w:hAnsi="Times New Roman"/>
          <w:sz w:val="26"/>
          <w:szCs w:val="26"/>
        </w:rPr>
        <w:t xml:space="preserve"> и их систематическое изменение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  <w:outlineLvl w:val="1"/>
      </w:pPr>
      <w:r>
        <w:rPr>
          <w:rFonts w:ascii="Times New Roman" w:hAnsi="Times New Roman"/>
          <w:sz w:val="26"/>
          <w:szCs w:val="26"/>
        </w:rPr>
        <w:t xml:space="preserve">С целью решения данных проблем Жилищная инспекция продолжит профилактическую работу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целью повышения уровня информированности подконтрольных субъектов по вопросам со</w:t>
      </w:r>
      <w:r>
        <w:rPr>
          <w:rFonts w:ascii="Times New Roman" w:hAnsi="Times New Roman"/>
          <w:sz w:val="26"/>
          <w:szCs w:val="26"/>
        </w:rPr>
        <w:t xml:space="preserve">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государственного жилищного надзора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 w:eastAsia="Calibri"/>
          <w:sz w:val="26"/>
          <w:szCs w:val="26"/>
          <w:lang w:eastAsia="en-US"/>
        </w:rPr>
        <w:t xml:space="preserve">повышения уровня правовой грамотности подконтрольных субъектов, обеспечения единообразия понимания предмета контроля подконтрольными субъектами,</w:t>
      </w:r>
      <w:r>
        <w:rPr>
          <w:rFonts w:ascii="Times New Roman" w:hAnsi="Times New Roman"/>
          <w:sz w:val="26"/>
          <w:szCs w:val="26"/>
        </w:rPr>
        <w:t xml:space="preserve"> мотивации подконтрольных субъектов к добросовестному поведению и сознательному соблюдению обязательных требований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  <w:outlineLvl w:val="1"/>
      </w:pPr>
      <w:r>
        <w:rPr>
          <w:rFonts w:ascii="Times New Roman" w:hAnsi="Times New Roman"/>
          <w:b/>
          <w:sz w:val="28"/>
          <w:szCs w:val="28"/>
        </w:rPr>
        <w:t xml:space="preserve">Раздел 2. Цели и задачи </w:t>
      </w:r>
      <w:r>
        <w:rPr>
          <w:rFonts w:ascii="Times New Roman" w:hAnsi="Times New Roman"/>
          <w:b/>
          <w:sz w:val="28"/>
          <w:szCs w:val="28"/>
        </w:rPr>
        <w:t xml:space="preserve">реализации программы профилактики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05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.</w:t>
      </w:r>
      <w:r>
        <w:rPr>
          <w:rFonts w:ascii="Times New Roman" w:hAnsi="Times New Roman"/>
          <w:b/>
          <w:sz w:val="26"/>
          <w:szCs w:val="26"/>
        </w:rPr>
        <w:t xml:space="preserve">1.</w:t>
      </w:r>
      <w:r>
        <w:rPr>
          <w:rFonts w:ascii="Times New Roman" w:hAnsi="Times New Roman"/>
          <w:b/>
          <w:sz w:val="26"/>
          <w:szCs w:val="26"/>
        </w:rPr>
        <w:t xml:space="preserve"> Целями профилактической работы являются: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05"/>
        <w:ind w:firstLine="600"/>
        <w:jc w:val="both"/>
        <w:spacing w:after="0" w:line="240" w:lineRule="auto"/>
        <w:tabs>
          <w:tab w:val="left" w:pos="89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предупреждение нарушений юридическими лицами и индивидуальными предпринимателями </w:t>
      </w:r>
      <w:r>
        <w:rPr>
          <w:rFonts w:ascii="Times New Roman" w:hAnsi="Times New Roman"/>
          <w:sz w:val="26"/>
          <w:szCs w:val="26"/>
        </w:rPr>
        <w:t xml:space="preserve">лицензионных</w:t>
      </w:r>
      <w:r>
        <w:rPr>
          <w:rFonts w:ascii="Times New Roman" w:hAnsi="Times New Roman"/>
          <w:sz w:val="26"/>
          <w:szCs w:val="26"/>
        </w:rPr>
        <w:t xml:space="preserve"> требований;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600"/>
        <w:jc w:val="both"/>
        <w:spacing w:after="0" w:line="240" w:lineRule="auto"/>
        <w:widowControl w:val="off"/>
        <w:rPr>
          <w:rFonts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устранение причин, факторов и условий, способствующих нарушениям </w:t>
      </w:r>
      <w:r>
        <w:rPr>
          <w:rFonts w:ascii="Times New Roman" w:hAnsi="Times New Roman"/>
          <w:sz w:val="26"/>
          <w:szCs w:val="26"/>
        </w:rPr>
        <w:t xml:space="preserve">лицензионных </w:t>
      </w:r>
      <w:r>
        <w:rPr>
          <w:rFonts w:ascii="Times New Roman" w:hAnsi="Times New Roman"/>
          <w:sz w:val="26"/>
          <w:szCs w:val="26"/>
        </w:rPr>
        <w:t xml:space="preserve">требований;</w:t>
      </w:r>
      <w:r>
        <w:rPr>
          <w:rFonts w:cs="Calibri"/>
          <w:sz w:val="26"/>
          <w:szCs w:val="26"/>
        </w:rPr>
      </w:r>
      <w:r>
        <w:rPr>
          <w:rFonts w:cs="Calibri"/>
          <w:sz w:val="26"/>
          <w:szCs w:val="26"/>
        </w:rPr>
      </w:r>
    </w:p>
    <w:p>
      <w:pPr>
        <w:pStyle w:val="905"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повышение прозрачности системы государственного контроля (надзора) и эффективности осуществления контрольно-надзорной деятельности Управления по надзору УР.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540"/>
        <w:jc w:val="both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2. </w:t>
      </w:r>
      <w:r>
        <w:rPr>
          <w:rFonts w:ascii="Times New Roman" w:hAnsi="Times New Roman"/>
          <w:b/>
          <w:sz w:val="26"/>
          <w:szCs w:val="26"/>
        </w:rPr>
        <w:t xml:space="preserve">Основными задачами профилактической работы являются: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905"/>
        <w:ind w:firstLine="600"/>
        <w:jc w:val="both"/>
        <w:keepLines/>
        <w:keepNext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выявление причин, факторов и условий, способствующих нарушениям </w:t>
      </w:r>
      <w:r>
        <w:rPr>
          <w:rFonts w:ascii="Times New Roman" w:hAnsi="Times New Roman"/>
          <w:sz w:val="26"/>
          <w:szCs w:val="26"/>
        </w:rPr>
        <w:t xml:space="preserve">лицензионных</w:t>
      </w:r>
      <w:r>
        <w:rPr>
          <w:rFonts w:ascii="Times New Roman" w:hAnsi="Times New Roman"/>
          <w:sz w:val="26"/>
          <w:szCs w:val="26"/>
        </w:rPr>
        <w:t xml:space="preserve"> требований;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осуществление планирования и проведения профилактики нарушений </w:t>
      </w:r>
      <w:r>
        <w:rPr>
          <w:rFonts w:ascii="Times New Roman" w:hAnsi="Times New Roman"/>
          <w:sz w:val="26"/>
          <w:szCs w:val="26"/>
        </w:rPr>
        <w:t xml:space="preserve">лицензионных </w:t>
      </w:r>
      <w:r>
        <w:rPr>
          <w:rFonts w:ascii="Times New Roman" w:hAnsi="Times New Roman"/>
          <w:sz w:val="26"/>
          <w:szCs w:val="26"/>
        </w:rPr>
        <w:t xml:space="preserve">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</w:t>
      </w:r>
      <w:r>
        <w:rPr>
          <w:rFonts w:ascii="Times New Roman" w:hAnsi="Times New Roman"/>
          <w:sz w:val="26"/>
          <w:szCs w:val="26"/>
        </w:rPr>
        <w:t xml:space="preserve">я</w:t>
      </w:r>
      <w:r>
        <w:rPr>
          <w:rFonts w:ascii="Times New Roman" w:hAnsi="Times New Roman"/>
          <w:sz w:val="26"/>
          <w:szCs w:val="26"/>
        </w:rPr>
        <w:t xml:space="preserve">тий;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ind w:firstLine="600"/>
        <w:jc w:val="both"/>
        <w:keepLines/>
        <w:keepNext/>
        <w:spacing w:after="0"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- повышение правосознания и правовой культуры </w:t>
      </w:r>
      <w:r>
        <w:rPr>
          <w:rFonts w:ascii="Times New Roman" w:hAnsi="Times New Roman"/>
          <w:sz w:val="26"/>
          <w:szCs w:val="26"/>
        </w:rPr>
        <w:t xml:space="preserve">подконтрольных субъектов.</w:t>
      </w:r>
      <w:r>
        <w:rPr>
          <w:rFonts w:ascii="Times New Roman" w:hAnsi="Times New Roman"/>
          <w:szCs w:val="20"/>
        </w:rPr>
      </w:r>
      <w:r>
        <w:rPr>
          <w:rFonts w:ascii="Times New Roman" w:hAnsi="Times New Roman"/>
          <w:szCs w:val="20"/>
        </w:rPr>
      </w:r>
    </w:p>
    <w:p>
      <w:pPr>
        <w:pStyle w:val="905"/>
        <w:ind w:firstLine="540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ind w:firstLine="540"/>
        <w:jc w:val="center"/>
        <w:spacing w:after="0" w:line="240" w:lineRule="auto"/>
        <w:widowControl w:val="off"/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905"/>
        <w:ind w:firstLine="540"/>
        <w:jc w:val="center"/>
        <w:spacing w:after="0" w:line="240" w:lineRule="auto"/>
        <w:widowControl w:val="o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3. Перечень профилактических мероприятий, сроки (периодичность) их проведения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05"/>
        <w:ind w:firstLine="540"/>
        <w:jc w:val="center"/>
        <w:spacing w:after="0" w:line="240" w:lineRule="auto"/>
        <w:widowControl w:val="off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</w:r>
      <w:r>
        <w:rPr>
          <w:rFonts w:ascii="Times New Roman" w:hAnsi="Times New Roman"/>
          <w:b/>
          <w:color w:val="0070c0"/>
          <w:sz w:val="28"/>
          <w:szCs w:val="28"/>
        </w:rPr>
      </w:r>
      <w:r>
        <w:rPr>
          <w:rFonts w:ascii="Times New Roman" w:hAnsi="Times New Roman"/>
          <w:b/>
          <w:color w:val="0070c0"/>
          <w:sz w:val="28"/>
          <w:szCs w:val="28"/>
        </w:rPr>
      </w:r>
    </w:p>
    <w:p>
      <w:pPr>
        <w:pStyle w:val="905"/>
        <w:ind w:firstLine="567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При осуществлении лицензионного контроля проводятся следующие профилактические мероприятия: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5"/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1) информирование;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5"/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2) обобщение правоприменительной практики; 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5"/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3) объявление предостережения;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5"/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4) консультирование;</w:t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p>
      <w:pPr>
        <w:pStyle w:val="905"/>
        <w:ind w:firstLine="709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color w:val="000000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  <w:t xml:space="preserve">5)</w:t>
      </w:r>
      <w:r>
        <w:rPr>
          <w:rFonts w:ascii="Times New Roman" w:hAnsi="Times New Roman"/>
          <w:color w:val="000000"/>
          <w:sz w:val="26"/>
          <w:szCs w:val="26"/>
          <w:lang w:eastAsia="en-US" w:bidi="hi-IN"/>
        </w:rPr>
        <w:t xml:space="preserve"> профилактический визит. </w:t>
      </w:r>
      <w:r>
        <w:rPr>
          <w:rFonts w:ascii="Times New Roman" w:hAnsi="Times New Roman"/>
          <w:color w:val="000000"/>
          <w:sz w:val="26"/>
          <w:szCs w:val="26"/>
          <w:lang w:eastAsia="en-US" w:bidi="hi-IN"/>
        </w:rPr>
      </w:r>
      <w:r>
        <w:rPr>
          <w:rFonts w:ascii="Times New Roman" w:hAnsi="Times New Roman"/>
          <w:color w:val="000000"/>
          <w:sz w:val="26"/>
          <w:szCs w:val="26"/>
          <w:lang w:eastAsia="en-US" w:bidi="hi-IN"/>
        </w:rPr>
      </w:r>
    </w:p>
    <w:p>
      <w:pPr>
        <w:pStyle w:val="905"/>
        <w:ind w:firstLine="567"/>
        <w:jc w:val="both"/>
        <w:spacing w:after="0" w:line="240" w:lineRule="auto"/>
        <w:widowControl w:val="off"/>
        <w:tabs>
          <w:tab w:val="left" w:pos="851" w:leader="none"/>
          <w:tab w:val="left" w:pos="993" w:leader="none"/>
        </w:tabs>
        <w:rPr>
          <w:rFonts w:ascii="Times New Roman" w:hAnsi="Times New Roman"/>
          <w:sz w:val="26"/>
          <w:szCs w:val="26"/>
          <w:lang w:eastAsia="en-US" w:bidi="hi-IN"/>
        </w:rPr>
      </w:pP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  <w:r>
        <w:rPr>
          <w:rFonts w:ascii="Times New Roman" w:hAnsi="Times New Roman"/>
          <w:sz w:val="26"/>
          <w:szCs w:val="26"/>
          <w:lang w:eastAsia="en-US" w:bidi="hi-IN"/>
        </w:rPr>
      </w:r>
    </w:p>
    <w:tbl>
      <w:tblPr>
        <w:tblW w:w="10491" w:type="dxa"/>
        <w:tblInd w:w="-3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8"/>
        <w:gridCol w:w="2186"/>
        <w:gridCol w:w="2977"/>
        <w:gridCol w:w="2127"/>
        <w:gridCol w:w="26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п/п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8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мер</w:t>
            </w:r>
            <w:r>
              <w:rPr>
                <w:rFonts w:ascii="Times New Roman" w:hAnsi="Times New Roman"/>
                <w:b/>
              </w:rPr>
              <w:t xml:space="preserve">о</w:t>
            </w:r>
            <w:r>
              <w:rPr>
                <w:rFonts w:ascii="Times New Roman" w:hAnsi="Times New Roman"/>
                <w:b/>
              </w:rPr>
              <w:t xml:space="preserve">приятия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Форма мероприятия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(периоди</w:t>
            </w:r>
            <w:r>
              <w:rPr>
                <w:rFonts w:ascii="Times New Roman" w:hAnsi="Times New Roman"/>
                <w:b/>
              </w:rPr>
              <w:t xml:space="preserve">ч</w:t>
            </w:r>
            <w:r>
              <w:rPr>
                <w:rFonts w:ascii="Times New Roman" w:hAnsi="Times New Roman"/>
                <w:b/>
              </w:rPr>
              <w:t xml:space="preserve">ность) проведения меропри</w:t>
            </w:r>
            <w:r>
              <w:rPr>
                <w:rFonts w:ascii="Times New Roman" w:hAnsi="Times New Roman"/>
                <w:b/>
              </w:rPr>
              <w:t xml:space="preserve">я</w:t>
            </w:r>
            <w:r>
              <w:rPr>
                <w:rFonts w:ascii="Times New Roman" w:hAnsi="Times New Roman"/>
                <w:b/>
              </w:rPr>
              <w:t xml:space="preserve">тия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Ответственное структурное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подраздел</w:t>
            </w:r>
            <w:r>
              <w:rPr>
                <w:rFonts w:ascii="Times New Roman" w:hAnsi="Times New Roman"/>
                <w:b/>
              </w:rPr>
              <w:t xml:space="preserve">е</w:t>
            </w:r>
            <w:r>
              <w:rPr>
                <w:rFonts w:ascii="Times New Roman" w:hAnsi="Times New Roman"/>
                <w:b/>
              </w:rPr>
              <w:t xml:space="preserve">ние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(ответственные должностные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</w:t>
            </w:r>
            <w:r>
              <w:rPr>
                <w:rFonts w:ascii="Times New Roman" w:hAnsi="Times New Roman"/>
                <w:b/>
              </w:rPr>
              <w:t xml:space="preserve">и</w:t>
            </w:r>
            <w:r>
              <w:rPr>
                <w:rFonts w:ascii="Times New Roman" w:hAnsi="Times New Roman"/>
                <w:b/>
              </w:rPr>
              <w:t xml:space="preserve">ца)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vMerge w:val="restart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vMerge w:val="restart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Информирование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Размещение в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информационно - телекоммуникационной сети «Интернет», на сайте Управления по надзору УР нормативно-правовых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Первый заместитель начальника Главного 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ления;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90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отдел обеспечения работы с кадрами, информационного обеспечения и сопрово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ждения регистрационных действий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Пополнение, актуализация перечней нормативно-правовых актов, содержащих обязательные требования, соблюдение которых оценивается при проведении мероприятий по контролю (надзору)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издания новых нормативных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вовых актов или внесения изменений в 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ствующие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-Начальник Жилищной инспекции;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отдел обеспечения работы с кадрами, информационного обеспечения и сопрово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ждения регистрационных действий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Подготовка и размещение на официальном сайте Управления по надзору УР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руководств по соблюдению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реже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год,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 3 рабочих дней после подготовки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начальники отделов Жилищной инспекции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отдел обеспечения работы с кадрами, информационного обеспечения и сопрово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ждения регистрационных действий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both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Размещение на официальном сайте Управления по надзору 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  <w:p>
            <w:pPr>
              <w:pStyle w:val="905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ентябрь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лицензирования и надзора за деятельностью юридических лиц, управляющих многоквартирными домами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Разработка, утверждение и размещение на официальном сайте Управления по надзору УР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программы профилактики рисков причинения вреда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 декабря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Первый заместитель начальника Главного 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ления;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90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отдел обеспечения работы с кадрами, информационного обеспечения и сопровождения регистрационных действий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vMerge w:val="continue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Подготовка и размещение на официальном сайте Управления по надзору УР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доклада о государственном контроле (надзоре)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15 марта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Первый заместитель начальника Главного 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ления;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90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отдел обеспечения работы с кадрами, информационного обеспечения и сопровождения регистрационных действий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Подготовка и размещение на официальном сайте Управления по надзору УР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докладов, содержащих результаты обобщения правоприменительной практики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марта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Первый заместитель начальника Главного упра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ления;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r>
          </w:p>
          <w:p>
            <w:pPr>
              <w:pStyle w:val="905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отдел обеспечения работы с кадрами, информационного обеспечения и сопровождения регистрационных действий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Объявление 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составление и направление предостережений о недопустимости нарушения обязательных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соответствии со статьи 49 Федерального закона № 248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 наличии 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ний, предусмотренных Федеральным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HYPERLINK "consultantplus://offline/ref=C356E3BA0AC1D6E88D8E362209B5CD136D02B6AE1B31071DF63165EE3DA8666ADAC560914CC64A533FB10A2419t0SAI"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</w:r>
            <w:r>
              <w:rPr>
                <w:rFonts w:ascii="Times New Roman" w:hAnsi="Times New Roman"/>
                <w:color w:val="0000ff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№ 248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начальники отделов Жилищной инспекции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Calibri"/>
                <w:b/>
                <w:sz w:val="20"/>
                <w:szCs w:val="20"/>
                <w:lang w:eastAsia="en-US"/>
              </w:rPr>
              <w:t xml:space="preserve">Консультирование в соответствии со статьей 50 Федерального закона № 248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Консультирование  по телефону, посредством видео-конференц-связи, на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личном приеме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,</w:t>
            </w:r>
            <w:r>
              <w:rPr>
                <w:rFonts w:ascii="Times New Roman" w:hAnsi="Times New Roman" w:eastAsia="Calibri"/>
                <w:sz w:val="20"/>
                <w:szCs w:val="20"/>
                <w:lang w:eastAsia="en-US"/>
              </w:rPr>
              <w:t xml:space="preserve"> либо в ходе проведения профилактического мероприятия, контрольного (надзорного) мероприятия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года, по мере необходимости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начальники отделов Жилищной инспекции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Проведение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обязательных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профилактических визитов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 соответствии 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ч.4   ст.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52 Федерального закона № 248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профилактические визиты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ООО  Домком»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1800017012)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март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2. ООО «Триумф»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(ИНН 1831109320)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март 2025 года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3.ООО «Управдом плюс» (ИНН 1831121687)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апрель 2025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4.ООО «УК Комфорт»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(ИНН 1831164994)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апрель 2025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5.ООО УК «Ареола»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ИНН 1834047449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апрель 2025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6. ООО «УК «АМ»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(ИНН 1835083739)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апрель 2025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7.ООО «УК – Ижкомцентр» (ИНН 1841022974)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июль 2025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8. ООО «ЖКУ №813»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(ИНН 184 1059290)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Июль 2025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9. ООО УК «Многоквартирные дома» (ИНН 1841068009)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Июль 2025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10.ООО «УК «Жилые кварталы» (ИНН 1841098765)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Июль 2025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отдел лицензирования и надзора за деятельностью юридических лиц, управляющих многоквартирными домами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отдел по контролю за раскрытием информации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 отдел контроля за формированием фондов капитального ремонта и расчетами платы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4.отдел жилищного надзора и лицензированного контроля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568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186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Проведение профилактических визитов по заявлению контролируемых  лиц,   в соответствии с  ч.ч.10 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–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13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ст. 52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Федерального закона № 248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r>
          </w:p>
        </w:tc>
        <w:tc>
          <w:tcPr>
            <w:tcW w:w="2977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Профилактические визиты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r>
          </w:p>
        </w:tc>
        <w:tc>
          <w:tcPr>
            <w:tcW w:w="2127" w:type="dxa"/>
            <w:vAlign w:val="top"/>
            <w:textDirection w:val="lrTb"/>
            <w:noWrap w:val="false"/>
          </w:tcPr>
          <w:p>
            <w:pPr>
              <w:pStyle w:val="905"/>
              <w:spacing w:after="0" w:line="240" w:lineRule="auto"/>
              <w:widowControl w:val="off"/>
              <w:tabs>
                <w:tab w:val="left" w:pos="225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контролируемых лиц определяется приложением 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настоящему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Приказу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633" w:type="dxa"/>
            <w:vAlign w:val="top"/>
            <w:textDirection w:val="lrTb"/>
            <w:noWrap w:val="false"/>
          </w:tcPr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отдел лицензирования и надзора за деятельностью юридических лиц, управляющих многоквартирными домами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отдел по контролю за раскрытием информации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 отдел контроля за формированием фондов капитального ремонта и расчетами платы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4.отдел жилищного надзора и лицензированного контроля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905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</w:tr>
    </w:tbl>
    <w:p>
      <w:pPr>
        <w:pStyle w:val="90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5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905"/>
        <w:contextualSpacing/>
        <w:jc w:val="center"/>
        <w:spacing w:before="375" w:after="0" w:line="240" w:lineRule="auto"/>
        <w:rPr>
          <w:rFonts w:ascii="Times New Roman" w:hAnsi="Times New Roman"/>
          <w:b/>
          <w:spacing w:val="2"/>
          <w:sz w:val="28"/>
          <w:szCs w:val="28"/>
        </w:rPr>
        <w:outlineLvl w:val="2"/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4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.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Показатели результативности и эффективности </w:t>
      </w:r>
      <w:r>
        <w:rPr>
          <w:rFonts w:ascii="Times New Roman" w:hAnsi="Times New Roman"/>
          <w:b/>
          <w:spacing w:val="2"/>
          <w:sz w:val="28"/>
          <w:szCs w:val="28"/>
        </w:rPr>
      </w: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905"/>
        <w:contextualSpacing/>
        <w:jc w:val="center"/>
        <w:spacing w:before="375" w:after="0" w:line="240" w:lineRule="auto"/>
        <w:rPr>
          <w:rFonts w:ascii="Times New Roman" w:hAnsi="Times New Roman"/>
          <w:b/>
          <w:spacing w:val="2"/>
          <w:sz w:val="28"/>
          <w:szCs w:val="28"/>
        </w:rPr>
        <w:outlineLvl w:val="2"/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программы профилактики</w:t>
      </w:r>
      <w:r>
        <w:rPr>
          <w:rFonts w:ascii="Times New Roman" w:hAnsi="Times New Roman"/>
          <w:b/>
          <w:spacing w:val="2"/>
          <w:sz w:val="28"/>
          <w:szCs w:val="28"/>
        </w:rPr>
      </w: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905"/>
        <w:contextualSpacing/>
        <w:jc w:val="center"/>
        <w:spacing w:before="375" w:after="0" w:line="240" w:lineRule="auto"/>
        <w:rPr>
          <w:rFonts w:ascii="Times New Roman" w:hAnsi="Times New Roman"/>
          <w:b/>
          <w:spacing w:val="2"/>
          <w:sz w:val="28"/>
          <w:szCs w:val="28"/>
        </w:rPr>
        <w:outlineLvl w:val="2"/>
      </w:pPr>
      <w:r>
        <w:rPr>
          <w:rFonts w:ascii="Times New Roman" w:hAnsi="Times New Roman"/>
          <w:b/>
          <w:spacing w:val="2"/>
          <w:sz w:val="28"/>
          <w:szCs w:val="28"/>
        </w:rPr>
      </w:r>
      <w:r>
        <w:rPr>
          <w:rFonts w:ascii="Times New Roman" w:hAnsi="Times New Roman"/>
          <w:b/>
          <w:spacing w:val="2"/>
          <w:sz w:val="28"/>
          <w:szCs w:val="28"/>
        </w:rPr>
      </w:r>
      <w:r>
        <w:rPr>
          <w:rFonts w:ascii="Times New Roman" w:hAnsi="Times New Roman"/>
          <w:b/>
          <w:spacing w:val="2"/>
          <w:sz w:val="28"/>
          <w:szCs w:val="28"/>
        </w:rPr>
      </w:r>
    </w:p>
    <w:p>
      <w:pPr>
        <w:pStyle w:val="923"/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оценки мероприятий по профилактике нарушений и в целом Программы профилактики нарушений по итогам календарного года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с учетом достижения целей Программы профилактики нарушений обязательных требований, устано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ленных жилищным законодательством и законодательством об энергосбереж</w:t>
      </w:r>
      <w:r>
        <w:rPr>
          <w:rFonts w:ascii="Times New Roman" w:hAnsi="Times New Roman"/>
          <w:sz w:val="26"/>
          <w:szCs w:val="26"/>
        </w:rPr>
        <w:t xml:space="preserve">е</w:t>
      </w:r>
      <w:r>
        <w:rPr>
          <w:rFonts w:ascii="Times New Roman" w:hAnsi="Times New Roman"/>
          <w:sz w:val="26"/>
          <w:szCs w:val="26"/>
        </w:rPr>
        <w:t xml:space="preserve">нии, </w:t>
      </w:r>
      <w:r>
        <w:rPr>
          <w:rFonts w:ascii="Times New Roman" w:hAnsi="Times New Roman"/>
          <w:sz w:val="26"/>
          <w:szCs w:val="26"/>
        </w:rPr>
        <w:t xml:space="preserve">соблюдение которых оценивается при проведении </w:t>
      </w:r>
      <w:r>
        <w:rPr>
          <w:rFonts w:ascii="Times New Roman" w:hAnsi="Times New Roman"/>
          <w:sz w:val="26"/>
          <w:szCs w:val="26"/>
        </w:rPr>
        <w:t xml:space="preserve">Управлением по надзору УР </w:t>
      </w:r>
      <w:r>
        <w:rPr>
          <w:rFonts w:ascii="Times New Roman" w:hAnsi="Times New Roman"/>
          <w:sz w:val="26"/>
          <w:szCs w:val="26"/>
        </w:rPr>
        <w:t xml:space="preserve">лицензионного ко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троля предпринимательской деятельности по управлению многоквартирными д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мам</w:t>
      </w:r>
      <w:r>
        <w:rPr>
          <w:rFonts w:ascii="Times New Roman" w:hAnsi="Times New Roman"/>
          <w:sz w:val="26"/>
          <w:szCs w:val="26"/>
        </w:rPr>
        <w:t xml:space="preserve">и, устанавливаются следующие отчетные показатели: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23"/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23"/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tbl>
      <w:tblPr>
        <w:tblW w:w="8364" w:type="dxa"/>
        <w:jc w:val="center"/>
        <w:tblInd w:w="-7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545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68"/>
        </w:trPr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Наименование показателя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Значение показателя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2025 год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5"/>
        </w:trPr>
        <w:tc>
          <w:tcPr>
            <w:tcW w:w="3545" w:type="dxa"/>
            <w:vAlign w:val="top"/>
            <w:textDirection w:val="lrTb"/>
            <w:noWrap w:val="false"/>
          </w:tcPr>
          <w:p>
            <w:pPr>
              <w:pStyle w:val="905"/>
              <w:ind w:firstLine="34"/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устраненных нарушений обязательных требований жилищного законодательства в общем количестве выявленных нарушений обязательных требований жилищного законодательства</w:t>
            </w:r>
            <w:r>
              <w:rPr>
                <w:rFonts w:ascii="Times New Roman" w:hAnsi="Times New Roman"/>
              </w:rPr>
              <w:t xml:space="preserve">,%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819" w:type="dxa"/>
            <w:vAlign w:val="top"/>
            <w:textDirection w:val="lrTb"/>
            <w:noWrap w:val="false"/>
          </w:tcPr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91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905"/>
              <w:jc w:val="center"/>
              <w:spacing w:after="0" w:line="240" w:lineRule="auto"/>
              <w:widowControl w:val="o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23"/>
        <w:ind w:left="0" w:firstLine="567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5"/>
        <w:jc w:val="center"/>
        <w:spacing w:after="0" w:line="240" w:lineRule="auto"/>
        <w:widowControl w:val="off"/>
        <w:rPr>
          <w:rFonts w:ascii="Times New Roman" w:hAnsi="Times New Roman"/>
          <w:b/>
          <w:sz w:val="26"/>
          <w:szCs w:val="26"/>
        </w:rPr>
        <w:outlineLvl w:val="1"/>
      </w:pPr>
      <w:r>
        <w:rPr>
          <w:rFonts w:ascii="Times New Roman" w:hAnsi="Times New Roman"/>
          <w:b/>
          <w:sz w:val="26"/>
          <w:szCs w:val="26"/>
        </w:rPr>
        <w:t xml:space="preserve">________________________________________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sectPr>
      <w:footerReference w:type="default" r:id="rId9"/>
      <w:footnotePr/>
      <w:endnotePr/>
      <w:type w:val="nextPage"/>
      <w:pgSz w:w="11906" w:h="16838" w:orient="portrait"/>
      <w:pgMar w:top="1440" w:right="1080" w:bottom="1440" w:left="1080" w:header="567" w:footer="60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606030504020204"/>
  </w:font>
  <w:font w:name="Cambria">
    <w:panose1 w:val="02040503050406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9"/>
      <w:jc w:val="right"/>
    </w:pPr>
    <w:r/>
    <w:r/>
  </w:p>
  <w:p>
    <w:pPr>
      <w:pStyle w:val="91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7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9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51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23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95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7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isLgl w:val="false"/>
      <w:suff w:val="tab"/>
      <w:lvlText w:val="%1.%2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07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4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307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79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51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23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95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67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362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64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286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6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852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134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776" w:hanging="2160"/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515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75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95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955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95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755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75" w:hanging="2160"/>
      </w:pPr>
      <w:rPr>
        <w:rFonts w:cs="Times New Roman"/>
      </w:r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15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7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9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31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03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5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7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9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72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62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8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76" w:hanging="2160"/>
      </w:pPr>
      <w:rPr>
        <w:rFonts w:cs="Times New Roman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55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85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1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45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40" w:hanging="2160"/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isLgl w:val="false"/>
      <w:suff w:val="tab"/>
      <w:lvlText w:val="%2)"/>
      <w:lvlJc w:val="left"/>
      <w:pPr>
        <w:ind w:left="1571" w:hanging="720"/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6" w:hanging="84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788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08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8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28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28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588" w:hanging="2160"/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861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88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07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362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8289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9576" w:hanging="2160"/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155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385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15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41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845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640" w:hanging="2160"/>
      </w:pPr>
      <w:rPr>
        <w:rFonts w:cs="Times New Roman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  <w:rPr>
        <w:rFonts w:eastAsia="Times New Roman" w:cs="Times New Roman"/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8"/>
  </w:num>
  <w:num w:numId="4">
    <w:abstractNumId w:val="9"/>
  </w:num>
  <w:num w:numId="5">
    <w:abstractNumId w:val="2"/>
  </w:num>
  <w:num w:numId="6">
    <w:abstractNumId w:val="15"/>
  </w:num>
  <w:num w:numId="7">
    <w:abstractNumId w:val="23"/>
  </w:num>
  <w:num w:numId="8">
    <w:abstractNumId w:val="18"/>
  </w:num>
  <w:num w:numId="9">
    <w:abstractNumId w:val="27"/>
  </w:num>
  <w:num w:numId="10">
    <w:abstractNumId w:val="10"/>
  </w:num>
  <w:num w:numId="11">
    <w:abstractNumId w:val="0"/>
  </w:num>
  <w:num w:numId="12">
    <w:abstractNumId w:val="22"/>
  </w:num>
  <w:num w:numId="13">
    <w:abstractNumId w:val="1"/>
  </w:num>
  <w:num w:numId="14">
    <w:abstractNumId w:val="11"/>
  </w:num>
  <w:num w:numId="15">
    <w:abstractNumId w:val="13"/>
  </w:num>
  <w:num w:numId="16">
    <w:abstractNumId w:val="6"/>
  </w:num>
  <w:num w:numId="17">
    <w:abstractNumId w:val="7"/>
  </w:num>
  <w:num w:numId="18">
    <w:abstractNumId w:val="24"/>
  </w:num>
  <w:num w:numId="19">
    <w:abstractNumId w:val="21"/>
  </w:num>
  <w:num w:numId="20">
    <w:abstractNumId w:val="16"/>
  </w:num>
  <w:num w:numId="21">
    <w:abstractNumId w:val="29"/>
  </w:num>
  <w:num w:numId="22">
    <w:abstractNumId w:val="5"/>
  </w:num>
  <w:num w:numId="23">
    <w:abstractNumId w:val="4"/>
  </w:num>
  <w:num w:numId="24">
    <w:abstractNumId w:val="12"/>
  </w:num>
  <w:num w:numId="25">
    <w:abstractNumId w:val="14"/>
  </w:num>
  <w:num w:numId="26">
    <w:abstractNumId w:val="17"/>
  </w:num>
  <w:num w:numId="27">
    <w:abstractNumId w:val="25"/>
  </w:num>
  <w:num w:numId="28">
    <w:abstractNumId w:val="19"/>
  </w:num>
  <w:num w:numId="29">
    <w:abstractNumId w:val="2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>
    <w:name w:val="Heading 1"/>
    <w:basedOn w:val="905"/>
    <w:next w:val="905"/>
    <w:link w:val="72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9">
    <w:name w:val="Heading 1 Char"/>
    <w:link w:val="728"/>
    <w:uiPriority w:val="9"/>
    <w:rPr>
      <w:rFonts w:ascii="Arial" w:hAnsi="Arial" w:eastAsia="Arial" w:cs="Arial"/>
      <w:sz w:val="40"/>
      <w:szCs w:val="40"/>
    </w:rPr>
  </w:style>
  <w:style w:type="paragraph" w:styleId="730">
    <w:name w:val="Heading 2"/>
    <w:basedOn w:val="905"/>
    <w:next w:val="905"/>
    <w:link w:val="7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1">
    <w:name w:val="Heading 2 Char"/>
    <w:link w:val="730"/>
    <w:uiPriority w:val="9"/>
    <w:rPr>
      <w:rFonts w:ascii="Arial" w:hAnsi="Arial" w:eastAsia="Arial" w:cs="Arial"/>
      <w:sz w:val="34"/>
    </w:rPr>
  </w:style>
  <w:style w:type="paragraph" w:styleId="732">
    <w:name w:val="Heading 3"/>
    <w:basedOn w:val="905"/>
    <w:next w:val="905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3">
    <w:name w:val="Heading 3 Char"/>
    <w:link w:val="732"/>
    <w:uiPriority w:val="9"/>
    <w:rPr>
      <w:rFonts w:ascii="Arial" w:hAnsi="Arial" w:eastAsia="Arial" w:cs="Arial"/>
      <w:sz w:val="30"/>
      <w:szCs w:val="30"/>
    </w:rPr>
  </w:style>
  <w:style w:type="paragraph" w:styleId="734">
    <w:name w:val="Heading 4"/>
    <w:basedOn w:val="905"/>
    <w:next w:val="905"/>
    <w:link w:val="7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5">
    <w:name w:val="Heading 4 Char"/>
    <w:link w:val="734"/>
    <w:uiPriority w:val="9"/>
    <w:rPr>
      <w:rFonts w:ascii="Arial" w:hAnsi="Arial" w:eastAsia="Arial" w:cs="Arial"/>
      <w:b/>
      <w:bCs/>
      <w:sz w:val="26"/>
      <w:szCs w:val="26"/>
    </w:rPr>
  </w:style>
  <w:style w:type="paragraph" w:styleId="736">
    <w:name w:val="Heading 5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7">
    <w:name w:val="Heading 5 Char"/>
    <w:link w:val="736"/>
    <w:uiPriority w:val="9"/>
    <w:rPr>
      <w:rFonts w:ascii="Arial" w:hAnsi="Arial" w:eastAsia="Arial" w:cs="Arial"/>
      <w:b/>
      <w:bCs/>
      <w:sz w:val="24"/>
      <w:szCs w:val="24"/>
    </w:rPr>
  </w:style>
  <w:style w:type="paragraph" w:styleId="738">
    <w:name w:val="Heading 6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9">
    <w:name w:val="Heading 6 Char"/>
    <w:link w:val="738"/>
    <w:uiPriority w:val="9"/>
    <w:rPr>
      <w:rFonts w:ascii="Arial" w:hAnsi="Arial" w:eastAsia="Arial" w:cs="Arial"/>
      <w:b/>
      <w:bCs/>
      <w:sz w:val="22"/>
      <w:szCs w:val="22"/>
    </w:rPr>
  </w:style>
  <w:style w:type="paragraph" w:styleId="740">
    <w:name w:val="Heading 7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1">
    <w:name w:val="Heading 7 Char"/>
    <w:link w:val="7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2">
    <w:name w:val="Heading 8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3">
    <w:name w:val="Heading 8 Char"/>
    <w:link w:val="742"/>
    <w:uiPriority w:val="9"/>
    <w:rPr>
      <w:rFonts w:ascii="Arial" w:hAnsi="Arial" w:eastAsia="Arial" w:cs="Arial"/>
      <w:i/>
      <w:iCs/>
      <w:sz w:val="22"/>
      <w:szCs w:val="22"/>
    </w:rPr>
  </w:style>
  <w:style w:type="paragraph" w:styleId="744">
    <w:name w:val="Heading 9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5">
    <w:name w:val="Heading 9 Char"/>
    <w:link w:val="744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No Spacing"/>
    <w:uiPriority w:val="1"/>
    <w:qFormat/>
    <w:pPr>
      <w:spacing w:before="0" w:after="0" w:line="240" w:lineRule="auto"/>
    </w:pPr>
  </w:style>
  <w:style w:type="paragraph" w:styleId="747">
    <w:name w:val="Title"/>
    <w:basedOn w:val="905"/>
    <w:next w:val="905"/>
    <w:link w:val="74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8">
    <w:name w:val="Title Char"/>
    <w:link w:val="747"/>
    <w:uiPriority w:val="10"/>
    <w:rPr>
      <w:sz w:val="48"/>
      <w:szCs w:val="48"/>
    </w:rPr>
  </w:style>
  <w:style w:type="paragraph" w:styleId="749">
    <w:name w:val="Subtitle"/>
    <w:basedOn w:val="905"/>
    <w:next w:val="905"/>
    <w:link w:val="750"/>
    <w:uiPriority w:val="11"/>
    <w:qFormat/>
    <w:pPr>
      <w:spacing w:before="200" w:after="200"/>
    </w:pPr>
    <w:rPr>
      <w:sz w:val="24"/>
      <w:szCs w:val="24"/>
    </w:rPr>
  </w:style>
  <w:style w:type="character" w:styleId="750">
    <w:name w:val="Subtitle Char"/>
    <w:link w:val="749"/>
    <w:uiPriority w:val="11"/>
    <w:rPr>
      <w:sz w:val="24"/>
      <w:szCs w:val="24"/>
    </w:rPr>
  </w:style>
  <w:style w:type="paragraph" w:styleId="751">
    <w:name w:val="Quote"/>
    <w:basedOn w:val="905"/>
    <w:next w:val="905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5"/>
    <w:next w:val="905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paragraph" w:styleId="755">
    <w:name w:val="Header"/>
    <w:basedOn w:val="905"/>
    <w:link w:val="7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6">
    <w:name w:val="Header Char"/>
    <w:link w:val="755"/>
    <w:uiPriority w:val="99"/>
  </w:style>
  <w:style w:type="paragraph" w:styleId="757">
    <w:name w:val="Footer"/>
    <w:basedOn w:val="905"/>
    <w:link w:val="76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8">
    <w:name w:val="Footer Char"/>
    <w:link w:val="757"/>
    <w:uiPriority w:val="99"/>
  </w:style>
  <w:style w:type="paragraph" w:styleId="759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0">
    <w:name w:val="Caption Char"/>
    <w:basedOn w:val="759"/>
    <w:link w:val="757"/>
    <w:uiPriority w:val="99"/>
  </w:style>
  <w:style w:type="table" w:styleId="76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next w:val="905"/>
    <w:link w:val="905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906">
    <w:name w:val="Заголовок 1"/>
    <w:basedOn w:val="905"/>
    <w:next w:val="905"/>
    <w:link w:val="931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907">
    <w:name w:val="Заголовок 3"/>
    <w:basedOn w:val="905"/>
    <w:next w:val="905"/>
    <w:link w:val="935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paragraph" w:styleId="908">
    <w:name w:val="Заголовок 4"/>
    <w:basedOn w:val="905"/>
    <w:next w:val="905"/>
    <w:link w:val="936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909">
    <w:name w:val="Основной шрифт абзаца"/>
    <w:next w:val="909"/>
    <w:link w:val="905"/>
    <w:semiHidden/>
  </w:style>
  <w:style w:type="table" w:styleId="910">
    <w:name w:val="Обычная таблица"/>
    <w:next w:val="910"/>
    <w:link w:val="905"/>
    <w:semiHidden/>
    <w:tblPr/>
  </w:style>
  <w:style w:type="numbering" w:styleId="911">
    <w:name w:val="Нет списка"/>
    <w:next w:val="911"/>
    <w:link w:val="905"/>
    <w:semiHidden/>
  </w:style>
  <w:style w:type="paragraph" w:styleId="912">
    <w:name w:val="Обычный (веб)"/>
    <w:basedOn w:val="905"/>
    <w:next w:val="912"/>
    <w:link w:val="905"/>
    <w:pPr>
      <w:spacing w:before="100" w:beforeAutospacing="1" w:after="115"/>
    </w:pPr>
    <w:rPr>
      <w:rFonts w:ascii="Times New Roman" w:hAnsi="Times New Roman"/>
      <w:color w:val="000000"/>
      <w:sz w:val="24"/>
      <w:szCs w:val="24"/>
    </w:rPr>
  </w:style>
  <w:style w:type="paragraph" w:styleId="913">
    <w:name w:val="Верхний колонтитул"/>
    <w:basedOn w:val="905"/>
    <w:next w:val="913"/>
    <w:link w:val="917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>
    <w:name w:val="Верхний колонтитул Знак"/>
    <w:next w:val="914"/>
    <w:link w:val="905"/>
    <w:semiHidden/>
    <w:rPr>
      <w:rFonts w:cs="Times New Roman"/>
    </w:rPr>
  </w:style>
  <w:style w:type="paragraph" w:styleId="915">
    <w:name w:val="Основной текст 2"/>
    <w:basedOn w:val="905"/>
    <w:next w:val="915"/>
    <w:link w:val="918"/>
    <w:pPr>
      <w:ind w:firstLine="709"/>
      <w:jc w:val="both"/>
      <w:spacing w:after="120" w:line="480" w:lineRule="auto"/>
    </w:pPr>
    <w:rPr>
      <w:sz w:val="24"/>
      <w:szCs w:val="24"/>
    </w:rPr>
  </w:style>
  <w:style w:type="character" w:styleId="916">
    <w:name w:val="Основной текст 2 Знак"/>
    <w:next w:val="916"/>
    <w:link w:val="905"/>
    <w:semiHidden/>
    <w:rPr>
      <w:rFonts w:cs="Times New Roman"/>
    </w:rPr>
  </w:style>
  <w:style w:type="character" w:styleId="917">
    <w:name w:val="Верхний колонтитул Знак1"/>
    <w:next w:val="917"/>
    <w:link w:val="913"/>
    <w:rPr>
      <w:rFonts w:ascii="Calibri" w:hAnsi="Calibri" w:eastAsia="Times New Roman" w:cs="Times New Roman"/>
    </w:rPr>
  </w:style>
  <w:style w:type="character" w:styleId="918">
    <w:name w:val="Основной текст 2 Знак1"/>
    <w:next w:val="918"/>
    <w:link w:val="915"/>
    <w:rPr>
      <w:rFonts w:ascii="Calibri" w:hAnsi="Calibri" w:eastAsia="Times New Roman" w:cs="Times New Roman"/>
      <w:sz w:val="24"/>
      <w:szCs w:val="24"/>
    </w:rPr>
  </w:style>
  <w:style w:type="paragraph" w:styleId="919">
    <w:name w:val="Нижний колонтитул"/>
    <w:basedOn w:val="905"/>
    <w:next w:val="919"/>
    <w:link w:val="920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0">
    <w:name w:val="Нижний колонтитул Знак"/>
    <w:next w:val="920"/>
    <w:link w:val="919"/>
    <w:rPr>
      <w:rFonts w:cs="Times New Roman"/>
    </w:rPr>
  </w:style>
  <w:style w:type="paragraph" w:styleId="921">
    <w:name w:val="Текст выноски"/>
    <w:basedOn w:val="905"/>
    <w:next w:val="921"/>
    <w:link w:val="922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>
    <w:name w:val="Текст выноски Знак"/>
    <w:next w:val="922"/>
    <w:link w:val="921"/>
    <w:semiHidden/>
    <w:rPr>
      <w:rFonts w:ascii="Tahoma" w:hAnsi="Tahoma" w:cs="Tahoma"/>
      <w:sz w:val="16"/>
      <w:szCs w:val="16"/>
    </w:rPr>
  </w:style>
  <w:style w:type="paragraph" w:styleId="923">
    <w:name w:val="List Paragraph"/>
    <w:basedOn w:val="905"/>
    <w:next w:val="923"/>
    <w:link w:val="905"/>
    <w:pPr>
      <w:ind w:left="720"/>
    </w:pPr>
  </w:style>
  <w:style w:type="table" w:styleId="924">
    <w:name w:val="Сетка таблицы"/>
    <w:basedOn w:val="910"/>
    <w:next w:val="924"/>
    <w:link w:val="905"/>
    <w:rPr>
      <w:lang w:val="ru-RU" w:eastAsia="ru-RU" w:bidi="ar-SA"/>
    </w:rPr>
    <w:tblPr/>
  </w:style>
  <w:style w:type="character" w:styleId="925">
    <w:name w:val="Гиперссылка"/>
    <w:next w:val="925"/>
    <w:link w:val="905"/>
    <w:rPr>
      <w:rFonts w:cs="Times New Roman"/>
      <w:color w:val="0000ff"/>
      <w:u w:val="single"/>
    </w:rPr>
  </w:style>
  <w:style w:type="table" w:styleId="926">
    <w:name w:val="Сетка таблицы1"/>
    <w:next w:val="926"/>
    <w:link w:val="905"/>
    <w:rPr>
      <w:lang w:val="ru-RU" w:eastAsia="en-US" w:bidi="ar-SA"/>
    </w:rPr>
    <w:tblPr/>
  </w:style>
  <w:style w:type="paragraph" w:styleId="927">
    <w:name w:val="Текст"/>
    <w:basedOn w:val="905"/>
    <w:next w:val="927"/>
    <w:link w:val="928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928">
    <w:name w:val="Текст Знак"/>
    <w:next w:val="928"/>
    <w:link w:val="927"/>
    <w:rPr>
      <w:rFonts w:ascii="Courier New" w:hAnsi="Courier New" w:cs="Times New Roman"/>
      <w:sz w:val="20"/>
      <w:szCs w:val="20"/>
    </w:rPr>
  </w:style>
  <w:style w:type="paragraph" w:styleId="929">
    <w:name w:val="ConsPlusNormal"/>
    <w:next w:val="929"/>
    <w:link w:val="905"/>
    <w:pPr>
      <w:widowControl w:val="off"/>
    </w:pPr>
    <w:rPr>
      <w:rFonts w:cs="Calibri"/>
      <w:sz w:val="22"/>
      <w:lang w:val="ru-RU" w:eastAsia="ru-RU" w:bidi="ar-SA"/>
    </w:rPr>
  </w:style>
  <w:style w:type="paragraph" w:styleId="930">
    <w:name w:val="ConsPlusTitle"/>
    <w:next w:val="930"/>
    <w:link w:val="905"/>
    <w:pPr>
      <w:widowControl w:val="off"/>
    </w:pPr>
    <w:rPr>
      <w:rFonts w:cs="Calibri"/>
      <w:b/>
      <w:sz w:val="22"/>
      <w:lang w:val="ru-RU" w:eastAsia="ru-RU" w:bidi="ar-SA"/>
    </w:rPr>
  </w:style>
  <w:style w:type="character" w:styleId="931">
    <w:name w:val="Заголовок 1 Знак"/>
    <w:next w:val="931"/>
    <w:link w:val="906"/>
    <w:rPr>
      <w:rFonts w:ascii="Cambria" w:hAnsi="Cambria" w:eastAsia="Times New Roman" w:cs="Times New Roman"/>
      <w:b/>
      <w:bCs/>
      <w:sz w:val="32"/>
      <w:szCs w:val="32"/>
    </w:rPr>
  </w:style>
  <w:style w:type="table" w:styleId="932">
    <w:name w:val="Сетка таблицы15"/>
    <w:basedOn w:val="910"/>
    <w:next w:val="924"/>
    <w:link w:val="905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33">
    <w:name w:val="Абзац списка"/>
    <w:basedOn w:val="905"/>
    <w:next w:val="933"/>
    <w:link w:val="905"/>
    <w:uiPriority w:val="34"/>
    <w:qFormat/>
    <w:pPr>
      <w:contextualSpacing/>
      <w:ind w:left="720"/>
    </w:pPr>
    <w:rPr>
      <w:rFonts w:ascii="Calibri" w:hAnsi="Calibri" w:eastAsia="Calibri" w:cs="Times New Roman"/>
      <w:lang w:eastAsia="en-US"/>
    </w:rPr>
  </w:style>
  <w:style w:type="table" w:styleId="934">
    <w:name w:val="Сетка таблицы2"/>
    <w:basedOn w:val="910"/>
    <w:next w:val="924"/>
    <w:link w:val="905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35">
    <w:name w:val="Заголовок 3 Знак"/>
    <w:next w:val="935"/>
    <w:link w:val="907"/>
    <w:semiHidden/>
    <w:rPr>
      <w:rFonts w:ascii="Cambria" w:hAnsi="Cambria" w:eastAsia="Times New Roman" w:cs="Times New Roman"/>
      <w:b/>
      <w:bCs/>
      <w:sz w:val="26"/>
      <w:szCs w:val="26"/>
    </w:rPr>
  </w:style>
  <w:style w:type="character" w:styleId="936">
    <w:name w:val="Заголовок 4 Знак"/>
    <w:next w:val="936"/>
    <w:link w:val="908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937">
    <w:name w:val="rtecenter"/>
    <w:basedOn w:val="905"/>
    <w:next w:val="937"/>
    <w:link w:val="905"/>
    <w:pPr>
      <w:jc w:val="center"/>
      <w:spacing w:before="240" w:after="240" w:line="240" w:lineRule="auto"/>
    </w:pPr>
    <w:rPr>
      <w:rFonts w:ascii="Times New Roman" w:hAnsi="Times New Roman"/>
      <w:sz w:val="24"/>
      <w:szCs w:val="24"/>
    </w:rPr>
  </w:style>
  <w:style w:type="paragraph" w:styleId="938">
    <w:name w:val="Название"/>
    <w:basedOn w:val="905"/>
    <w:next w:val="905"/>
    <w:link w:val="939"/>
    <w:qFormat/>
    <w:pPr>
      <w:jc w:val="center"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</w:rPr>
  </w:style>
  <w:style w:type="character" w:styleId="939">
    <w:name w:val="Название Знак"/>
    <w:next w:val="939"/>
    <w:link w:val="938"/>
    <w:rPr>
      <w:rFonts w:ascii="Cambria" w:hAnsi="Cambria" w:eastAsia="Times New Roman" w:cs="Times New Roman"/>
      <w:b/>
      <w:bCs/>
      <w:sz w:val="32"/>
      <w:szCs w:val="32"/>
    </w:rPr>
  </w:style>
  <w:style w:type="character" w:styleId="940" w:default="1">
    <w:name w:val="Default Paragraph Font"/>
    <w:uiPriority w:val="1"/>
    <w:semiHidden/>
    <w:unhideWhenUsed/>
  </w:style>
  <w:style w:type="numbering" w:styleId="941" w:default="1">
    <w:name w:val="No List"/>
    <w:uiPriority w:val="99"/>
    <w:semiHidden/>
    <w:unhideWhenUsed/>
  </w:style>
  <w:style w:type="table" w:styleId="9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mcko</dc:creator>
  <cp:revision>44</cp:revision>
  <dcterms:created xsi:type="dcterms:W3CDTF">2022-10-14T11:27:00Z</dcterms:created>
  <dcterms:modified xsi:type="dcterms:W3CDTF">2024-09-26T05:52:53Z</dcterms:modified>
  <cp:version>917504</cp:version>
</cp:coreProperties>
</file>